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02F76" w14:textId="77777777" w:rsidR="00680838" w:rsidRPr="00110644" w:rsidRDefault="00680838" w:rsidP="001F4451">
      <w:pPr>
        <w:ind w:firstLine="0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Toc473481483"/>
    </w:p>
    <w:tbl>
      <w:tblPr>
        <w:tblW w:w="10520" w:type="dxa"/>
        <w:tblLook w:val="04A0" w:firstRow="1" w:lastRow="0" w:firstColumn="1" w:lastColumn="0" w:noHBand="0" w:noVBand="1"/>
      </w:tblPr>
      <w:tblGrid>
        <w:gridCol w:w="10520"/>
      </w:tblGrid>
      <w:tr w:rsidR="00E0297D" w:rsidRPr="00E0297D" w14:paraId="66E725E5" w14:textId="77777777" w:rsidTr="00E0297D">
        <w:trPr>
          <w:trHeight w:val="300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EAF2" w14:textId="77777777" w:rsidR="00E0297D" w:rsidRPr="00E0297D" w:rsidRDefault="00E0297D" w:rsidP="00E0297D">
            <w:pPr>
              <w:spacing w:after="0" w:line="240" w:lineRule="auto"/>
              <w:ind w:firstLine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0297D">
              <w:rPr>
                <w:rFonts w:cs="Calibri"/>
                <w:b/>
                <w:bCs/>
                <w:color w:val="000000"/>
                <w:sz w:val="22"/>
                <w:szCs w:val="22"/>
              </w:rPr>
              <w:t>Nastavni zavod za hitnu medicinu Grada Zagreba, Heinzelova 88, Zagreb</w:t>
            </w:r>
          </w:p>
        </w:tc>
      </w:tr>
      <w:tr w:rsidR="00E0297D" w:rsidRPr="00E0297D" w14:paraId="0C4AE372" w14:textId="77777777" w:rsidTr="00E0297D">
        <w:trPr>
          <w:trHeight w:val="300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B62E" w14:textId="77777777" w:rsidR="00E0297D" w:rsidRPr="00E0297D" w:rsidRDefault="00E0297D" w:rsidP="00E0297D">
            <w:pPr>
              <w:spacing w:after="0" w:line="240" w:lineRule="auto"/>
              <w:ind w:firstLine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0297D">
              <w:rPr>
                <w:rFonts w:cs="Calibri"/>
                <w:color w:val="000000"/>
                <w:sz w:val="22"/>
                <w:szCs w:val="22"/>
              </w:rPr>
              <w:t>OIB: 44879111575, MB: 03270726, IBAN: HR5624020061100961533</w:t>
            </w:r>
          </w:p>
        </w:tc>
      </w:tr>
      <w:tr w:rsidR="00E0297D" w:rsidRPr="00E0297D" w14:paraId="30F0DE86" w14:textId="77777777" w:rsidTr="00E0297D">
        <w:trPr>
          <w:trHeight w:val="300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52FF" w14:textId="77777777" w:rsidR="00E0297D" w:rsidRPr="00E0297D" w:rsidRDefault="00E0297D" w:rsidP="00E0297D">
            <w:pPr>
              <w:spacing w:after="0" w:line="240" w:lineRule="auto"/>
              <w:ind w:firstLine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0297D">
              <w:rPr>
                <w:rFonts w:cs="Calibri"/>
                <w:color w:val="000000"/>
                <w:sz w:val="22"/>
                <w:szCs w:val="22"/>
              </w:rPr>
              <w:t>RKP: 25827</w:t>
            </w:r>
          </w:p>
        </w:tc>
      </w:tr>
      <w:tr w:rsidR="00E0297D" w:rsidRPr="00E0297D" w14:paraId="3A1C7EC2" w14:textId="77777777" w:rsidTr="00E0297D">
        <w:trPr>
          <w:trHeight w:val="300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8503" w14:textId="77777777" w:rsidR="00E0297D" w:rsidRPr="00E0297D" w:rsidRDefault="00E0297D" w:rsidP="00E0297D">
            <w:pPr>
              <w:spacing w:after="0" w:line="240" w:lineRule="auto"/>
              <w:ind w:firstLine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0297D">
              <w:rPr>
                <w:rFonts w:cs="Calibri"/>
                <w:color w:val="000000"/>
                <w:sz w:val="22"/>
                <w:szCs w:val="22"/>
              </w:rPr>
              <w:t>Razina: 31 -proračunski korisnik JLP(R)S koji obavlja poslove u sklopu funkcija koje se decentraliziraju</w:t>
            </w:r>
          </w:p>
        </w:tc>
      </w:tr>
      <w:tr w:rsidR="00E0297D" w:rsidRPr="00E0297D" w14:paraId="5F0B3039" w14:textId="77777777" w:rsidTr="00E0297D">
        <w:trPr>
          <w:trHeight w:val="300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7BAEE" w14:textId="77777777" w:rsidR="00E0297D" w:rsidRPr="00E0297D" w:rsidRDefault="00E0297D" w:rsidP="00E0297D">
            <w:pPr>
              <w:spacing w:after="0" w:line="240" w:lineRule="auto"/>
              <w:ind w:firstLine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0297D">
              <w:rPr>
                <w:rFonts w:cs="Calibri"/>
                <w:color w:val="000000"/>
                <w:sz w:val="22"/>
                <w:szCs w:val="22"/>
              </w:rPr>
              <w:t>Djelatnost: 8622 Djelatnosti specijalističke medicinske prakse</w:t>
            </w:r>
          </w:p>
        </w:tc>
      </w:tr>
    </w:tbl>
    <w:p w14:paraId="0BC956DE" w14:textId="77777777" w:rsidR="005D78C5" w:rsidRDefault="005D78C5" w:rsidP="00E00C2A">
      <w:pPr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ECDC849" w14:textId="77777777" w:rsidR="005D78C5" w:rsidRDefault="005D78C5" w:rsidP="00E00C2A">
      <w:pPr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98D8D0F" w14:textId="77777777" w:rsidR="005C58F2" w:rsidRPr="00110644" w:rsidRDefault="005C58F2" w:rsidP="005D78C5">
      <w:pPr>
        <w:ind w:firstLine="0"/>
        <w:jc w:val="left"/>
        <w:rPr>
          <w:rFonts w:asciiTheme="minorHAnsi" w:hAnsiTheme="minorHAnsi" w:cstheme="minorHAnsi"/>
          <w:sz w:val="32"/>
          <w:szCs w:val="32"/>
        </w:rPr>
      </w:pPr>
    </w:p>
    <w:p w14:paraId="5669659E" w14:textId="3338A8DA" w:rsidR="00D776D3" w:rsidRDefault="00D776D3" w:rsidP="005D78C5">
      <w:pPr>
        <w:ind w:firstLine="0"/>
        <w:jc w:val="left"/>
        <w:rPr>
          <w:rFonts w:asciiTheme="minorHAnsi" w:hAnsiTheme="minorHAnsi" w:cstheme="minorHAnsi"/>
          <w:sz w:val="32"/>
          <w:szCs w:val="32"/>
        </w:rPr>
      </w:pPr>
    </w:p>
    <w:p w14:paraId="1FB27F8D" w14:textId="1DD3FB39" w:rsidR="00E41516" w:rsidRDefault="00E41516" w:rsidP="005D78C5">
      <w:pPr>
        <w:ind w:firstLine="0"/>
        <w:jc w:val="left"/>
        <w:rPr>
          <w:rFonts w:asciiTheme="minorHAnsi" w:hAnsiTheme="minorHAnsi" w:cstheme="minorHAnsi"/>
          <w:sz w:val="32"/>
          <w:szCs w:val="32"/>
        </w:rPr>
      </w:pPr>
    </w:p>
    <w:p w14:paraId="6859799E" w14:textId="4B9BA047" w:rsidR="00E41516" w:rsidRDefault="00E41516" w:rsidP="005D78C5">
      <w:pPr>
        <w:ind w:firstLine="0"/>
        <w:jc w:val="left"/>
        <w:rPr>
          <w:rFonts w:asciiTheme="minorHAnsi" w:hAnsiTheme="minorHAnsi" w:cstheme="minorHAnsi"/>
          <w:sz w:val="32"/>
          <w:szCs w:val="32"/>
        </w:rPr>
      </w:pPr>
    </w:p>
    <w:p w14:paraId="74FC196C" w14:textId="6FCC633E" w:rsidR="00E41516" w:rsidRPr="00110644" w:rsidRDefault="00E41516" w:rsidP="005D78C5">
      <w:pPr>
        <w:ind w:firstLine="0"/>
        <w:jc w:val="left"/>
        <w:rPr>
          <w:rFonts w:asciiTheme="minorHAnsi" w:hAnsiTheme="minorHAnsi" w:cstheme="minorHAnsi"/>
          <w:sz w:val="32"/>
          <w:szCs w:val="32"/>
        </w:rPr>
      </w:pPr>
    </w:p>
    <w:p w14:paraId="6A7382C4" w14:textId="193F5244" w:rsidR="005C58F2" w:rsidRPr="00110644" w:rsidRDefault="00391577" w:rsidP="005D78C5">
      <w:pPr>
        <w:ind w:firstLine="0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Izvještaj o godišnjem izvršenju financijskog plana za 2023.</w:t>
      </w:r>
    </w:p>
    <w:p w14:paraId="64A6E972" w14:textId="43079B27" w:rsidR="005C58F2" w:rsidRPr="00110644" w:rsidRDefault="00391577" w:rsidP="00D83226">
      <w:pPr>
        <w:ind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OBRAZLOŽENJE</w:t>
      </w:r>
    </w:p>
    <w:p w14:paraId="7256B931" w14:textId="77777777" w:rsidR="005C58F2" w:rsidRPr="00110644" w:rsidRDefault="005C58F2" w:rsidP="005C58F2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40B7388" w14:textId="77777777" w:rsidR="005C58F2" w:rsidRPr="00110644" w:rsidRDefault="005C58F2" w:rsidP="005C58F2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465BDD15" w14:textId="77777777" w:rsidR="005C58F2" w:rsidRPr="00110644" w:rsidRDefault="005C58F2" w:rsidP="005C58F2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4D3D3CB4" w14:textId="77777777" w:rsidR="005C58F2" w:rsidRPr="00110644" w:rsidRDefault="005C58F2" w:rsidP="005C58F2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414EA992" w14:textId="77777777" w:rsidR="005C58F2" w:rsidRPr="00110644" w:rsidRDefault="005C58F2" w:rsidP="005C58F2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1CC1A43" w14:textId="77777777" w:rsidR="005C58F2" w:rsidRPr="00110644" w:rsidRDefault="005C58F2" w:rsidP="005C58F2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E18361D" w14:textId="383E682C" w:rsidR="005C58F2" w:rsidRPr="00110644" w:rsidRDefault="001348E8" w:rsidP="001F4451">
      <w:pPr>
        <w:ind w:firstLine="0"/>
        <w:jc w:val="center"/>
        <w:rPr>
          <w:rFonts w:asciiTheme="minorHAnsi" w:hAnsiTheme="minorHAnsi" w:cstheme="minorHAnsi"/>
        </w:rPr>
      </w:pPr>
      <w:r w:rsidRPr="00110644">
        <w:rPr>
          <w:rFonts w:asciiTheme="minorHAnsi" w:hAnsiTheme="minorHAnsi" w:cstheme="minorHAnsi"/>
        </w:rPr>
        <w:t xml:space="preserve">Zagreb, </w:t>
      </w:r>
      <w:r w:rsidR="00391577">
        <w:rPr>
          <w:rFonts w:asciiTheme="minorHAnsi" w:hAnsiTheme="minorHAnsi" w:cstheme="minorHAnsi"/>
        </w:rPr>
        <w:t>7.</w:t>
      </w:r>
      <w:r w:rsidR="00686287" w:rsidRPr="00110644">
        <w:rPr>
          <w:rFonts w:asciiTheme="minorHAnsi" w:hAnsiTheme="minorHAnsi" w:cstheme="minorHAnsi"/>
        </w:rPr>
        <w:t xml:space="preserve"> </w:t>
      </w:r>
      <w:r w:rsidR="00391577">
        <w:rPr>
          <w:rFonts w:asciiTheme="minorHAnsi" w:hAnsiTheme="minorHAnsi" w:cstheme="minorHAnsi"/>
        </w:rPr>
        <w:t>ožujka</w:t>
      </w:r>
      <w:r w:rsidR="00686287" w:rsidRPr="00110644">
        <w:rPr>
          <w:rFonts w:asciiTheme="minorHAnsi" w:hAnsiTheme="minorHAnsi" w:cstheme="minorHAnsi"/>
        </w:rPr>
        <w:t xml:space="preserve"> 2024</w:t>
      </w:r>
      <w:r w:rsidR="005C58F2" w:rsidRPr="00110644">
        <w:rPr>
          <w:rFonts w:asciiTheme="minorHAnsi" w:hAnsiTheme="minorHAnsi" w:cstheme="minorHAnsi"/>
        </w:rPr>
        <w:t>.</w:t>
      </w:r>
    </w:p>
    <w:p w14:paraId="51E0ABBC" w14:textId="77777777" w:rsidR="00DE54E8" w:rsidRPr="00110644" w:rsidRDefault="00DE54E8" w:rsidP="005C58F2">
      <w:pPr>
        <w:jc w:val="center"/>
        <w:rPr>
          <w:rFonts w:asciiTheme="minorHAnsi" w:hAnsiTheme="minorHAnsi" w:cstheme="minorHAnsi"/>
          <w:b/>
        </w:rPr>
      </w:pPr>
    </w:p>
    <w:p w14:paraId="33293ACB" w14:textId="77777777" w:rsidR="00D776D3" w:rsidRPr="00110644" w:rsidRDefault="00D776D3" w:rsidP="005C58F2">
      <w:pPr>
        <w:jc w:val="center"/>
        <w:rPr>
          <w:rFonts w:asciiTheme="minorHAnsi" w:hAnsiTheme="minorHAnsi" w:cstheme="minorHAnsi"/>
          <w:b/>
        </w:rPr>
      </w:pPr>
    </w:p>
    <w:p w14:paraId="4FC13C03" w14:textId="77777777" w:rsidR="002D2B96" w:rsidRPr="00110644" w:rsidRDefault="002D2B96" w:rsidP="005C58F2">
      <w:pPr>
        <w:jc w:val="center"/>
        <w:rPr>
          <w:rFonts w:asciiTheme="minorHAnsi" w:hAnsiTheme="minorHAnsi" w:cstheme="minorHAnsi"/>
          <w:b/>
        </w:rPr>
      </w:pPr>
    </w:p>
    <w:bookmarkEnd w:id="0"/>
    <w:p w14:paraId="73FDD7E1" w14:textId="01B50A98" w:rsidR="00C274EF" w:rsidRPr="00110644" w:rsidRDefault="00686287" w:rsidP="00A65DCE">
      <w:pPr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lastRenderedPageBreak/>
        <w:t>Sukladno važećim propisima i metodologiji izrade, Plan prihoda i rashoda poslovanja i rashoda za nabavu nefinancijske imovine</w:t>
      </w:r>
      <w:r w:rsidR="00D66B3E" w:rsidRPr="00110644">
        <w:rPr>
          <w:rFonts w:asciiTheme="minorHAnsi" w:hAnsiTheme="minorHAnsi" w:cstheme="minorHAnsi"/>
          <w:sz w:val="22"/>
          <w:szCs w:val="22"/>
        </w:rPr>
        <w:t xml:space="preserve"> za 2023. godinu</w:t>
      </w:r>
      <w:r w:rsidRPr="00110644">
        <w:rPr>
          <w:rFonts w:asciiTheme="minorHAnsi" w:hAnsiTheme="minorHAnsi" w:cstheme="minorHAnsi"/>
          <w:sz w:val="22"/>
          <w:szCs w:val="22"/>
        </w:rPr>
        <w:t xml:space="preserve"> </w:t>
      </w:r>
      <w:r w:rsidR="00D66B3E" w:rsidRPr="00110644">
        <w:rPr>
          <w:rFonts w:asciiTheme="minorHAnsi" w:hAnsiTheme="minorHAnsi" w:cstheme="minorHAnsi"/>
          <w:sz w:val="22"/>
          <w:szCs w:val="22"/>
        </w:rPr>
        <w:t>donijet</w:t>
      </w:r>
      <w:r w:rsidRPr="00110644">
        <w:rPr>
          <w:rFonts w:asciiTheme="minorHAnsi" w:hAnsiTheme="minorHAnsi" w:cstheme="minorHAnsi"/>
          <w:sz w:val="22"/>
          <w:szCs w:val="22"/>
        </w:rPr>
        <w:t xml:space="preserve"> je 05.12.2022. godine (dalje u tekstu: Plan).</w:t>
      </w:r>
      <w:r w:rsidR="009867DF" w:rsidRPr="00110644">
        <w:rPr>
          <w:rFonts w:asciiTheme="minorHAnsi" w:hAnsiTheme="minorHAnsi" w:cstheme="minorHAnsi"/>
          <w:sz w:val="22"/>
          <w:szCs w:val="22"/>
        </w:rPr>
        <w:t xml:space="preserve"> </w:t>
      </w:r>
      <w:r w:rsidR="00C274EF" w:rsidRPr="00110644">
        <w:rPr>
          <w:rFonts w:asciiTheme="minorHAnsi" w:hAnsiTheme="minorHAnsi" w:cstheme="minorHAnsi"/>
          <w:sz w:val="22"/>
          <w:szCs w:val="22"/>
        </w:rPr>
        <w:t xml:space="preserve">Plan se temeljio na tada postojećem načinu i uvjetima financiranja od strane HZZO-a, minimalno potrebnim decentraliziranim sredstvima i ostalim načinima stjecanja prihoda. Slijedom kretanja prihoda i rashoda poslovanja, novonastalim potrebama i postignutim cijenama nabave pojedinih roba i usluga, </w:t>
      </w:r>
      <w:r w:rsidR="009805E2" w:rsidRPr="00110644">
        <w:rPr>
          <w:rFonts w:asciiTheme="minorHAnsi" w:hAnsiTheme="minorHAnsi" w:cstheme="minorHAnsi"/>
          <w:sz w:val="22"/>
          <w:szCs w:val="22"/>
        </w:rPr>
        <w:t>Plan</w:t>
      </w:r>
      <w:r w:rsidR="007E4174" w:rsidRPr="00110644">
        <w:rPr>
          <w:rFonts w:asciiTheme="minorHAnsi" w:hAnsiTheme="minorHAnsi" w:cstheme="minorHAnsi"/>
          <w:sz w:val="22"/>
          <w:szCs w:val="22"/>
        </w:rPr>
        <w:t xml:space="preserve"> je mijenjan i dopunjen</w:t>
      </w:r>
      <w:r w:rsidR="009805E2" w:rsidRPr="00110644">
        <w:rPr>
          <w:rFonts w:asciiTheme="minorHAnsi" w:hAnsiTheme="minorHAnsi" w:cstheme="minorHAnsi"/>
          <w:sz w:val="22"/>
          <w:szCs w:val="22"/>
        </w:rPr>
        <w:t xml:space="preserve"> </w:t>
      </w:r>
      <w:r w:rsidRPr="00110644">
        <w:rPr>
          <w:rFonts w:asciiTheme="minorHAnsi" w:hAnsiTheme="minorHAnsi" w:cstheme="minorHAnsi"/>
          <w:sz w:val="22"/>
          <w:szCs w:val="22"/>
        </w:rPr>
        <w:t xml:space="preserve">dva puta </w:t>
      </w:r>
      <w:r w:rsidR="009805E2" w:rsidRPr="00110644">
        <w:rPr>
          <w:rFonts w:asciiTheme="minorHAnsi" w:hAnsiTheme="minorHAnsi" w:cstheme="minorHAnsi"/>
          <w:sz w:val="22"/>
          <w:szCs w:val="22"/>
        </w:rPr>
        <w:t xml:space="preserve">tijekom </w:t>
      </w:r>
      <w:r w:rsidRPr="00110644">
        <w:rPr>
          <w:rFonts w:asciiTheme="minorHAnsi" w:hAnsiTheme="minorHAnsi" w:cstheme="minorHAnsi"/>
          <w:sz w:val="22"/>
          <w:szCs w:val="22"/>
        </w:rPr>
        <w:t xml:space="preserve">2023. </w:t>
      </w:r>
      <w:r w:rsidR="00110644" w:rsidRPr="00110644">
        <w:rPr>
          <w:rFonts w:asciiTheme="minorHAnsi" w:hAnsiTheme="minorHAnsi" w:cstheme="minorHAnsi"/>
          <w:sz w:val="22"/>
          <w:szCs w:val="22"/>
        </w:rPr>
        <w:t>godine:</w:t>
      </w:r>
    </w:p>
    <w:p w14:paraId="4DF4925E" w14:textId="77777777" w:rsidR="00C06465" w:rsidRPr="00110644" w:rsidRDefault="00C06465" w:rsidP="00A65DCE">
      <w:pPr>
        <w:pStyle w:val="ListParagraph"/>
        <w:numPr>
          <w:ilvl w:val="0"/>
          <w:numId w:val="37"/>
        </w:numPr>
        <w:spacing w:after="120" w:line="360" w:lineRule="auto"/>
        <w:ind w:left="425" w:hanging="357"/>
        <w:rPr>
          <w:rFonts w:asciiTheme="minorHAnsi" w:hAnsiTheme="minorHAnsi" w:cstheme="minorHAnsi"/>
          <w:sz w:val="22"/>
        </w:rPr>
      </w:pPr>
      <w:r w:rsidRPr="00110644">
        <w:rPr>
          <w:rFonts w:asciiTheme="minorHAnsi" w:hAnsiTheme="minorHAnsi" w:cstheme="minorHAnsi"/>
          <w:sz w:val="22"/>
        </w:rPr>
        <w:t>financijski plan za 2023. godinu donesen je 05.12.2022. godine (16.812.380 eur)</w:t>
      </w:r>
    </w:p>
    <w:p w14:paraId="3AA00561" w14:textId="77777777" w:rsidR="00C06465" w:rsidRPr="00110644" w:rsidRDefault="00C06465" w:rsidP="00A65DCE">
      <w:pPr>
        <w:pStyle w:val="ListParagraph"/>
        <w:numPr>
          <w:ilvl w:val="0"/>
          <w:numId w:val="37"/>
        </w:numPr>
        <w:spacing w:after="120" w:line="360" w:lineRule="auto"/>
        <w:ind w:left="425" w:hanging="357"/>
        <w:rPr>
          <w:rFonts w:asciiTheme="minorHAnsi" w:hAnsiTheme="minorHAnsi" w:cstheme="minorHAnsi"/>
          <w:sz w:val="22"/>
        </w:rPr>
      </w:pPr>
      <w:r w:rsidRPr="00110644">
        <w:rPr>
          <w:rFonts w:asciiTheme="minorHAnsi" w:hAnsiTheme="minorHAnsi" w:cstheme="minorHAnsi"/>
          <w:sz w:val="22"/>
        </w:rPr>
        <w:t>prijedlog I. izmjene i dopune plana donesen je 21.06.2023. a na snazi je od 01.08.2023. (15.876.980 eur)</w:t>
      </w:r>
    </w:p>
    <w:p w14:paraId="27FB1CED" w14:textId="77777777" w:rsidR="00C06465" w:rsidRPr="00110644" w:rsidRDefault="00C06465" w:rsidP="00A65DCE">
      <w:pPr>
        <w:pStyle w:val="ListParagraph"/>
        <w:numPr>
          <w:ilvl w:val="0"/>
          <w:numId w:val="37"/>
        </w:numPr>
        <w:spacing w:after="120" w:line="360" w:lineRule="auto"/>
        <w:ind w:left="425" w:hanging="357"/>
        <w:rPr>
          <w:rFonts w:asciiTheme="minorHAnsi" w:hAnsiTheme="minorHAnsi" w:cstheme="minorHAnsi"/>
          <w:sz w:val="22"/>
        </w:rPr>
      </w:pPr>
      <w:r w:rsidRPr="00110644">
        <w:rPr>
          <w:rFonts w:asciiTheme="minorHAnsi" w:hAnsiTheme="minorHAnsi" w:cstheme="minorHAnsi"/>
          <w:sz w:val="22"/>
        </w:rPr>
        <w:t>prijedlog II. izmjene i dopune plana sastavljen je 21.09.2023., a na snazi je od 12.12.2023. (15.885.730 eur)</w:t>
      </w:r>
    </w:p>
    <w:p w14:paraId="67917CE6" w14:textId="0F427784" w:rsidR="00686287" w:rsidRPr="00110644" w:rsidRDefault="00686287" w:rsidP="00C274EF">
      <w:pPr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>Realizacija dijela prihoda ovisi o različitim čimbenicima na koje Zavod ne može bitno utjecati, a navedeno vrijedi i za većinu rashoda poslovanja. Zbog toga nastaju odstupanja u visini pojedinih planskih stavki prihoda i rashoda, kao na primjer: nova vozila kupljena tijekom 2022. godine smanjila su</w:t>
      </w:r>
      <w:r w:rsidR="006A5FF2" w:rsidRPr="00110644">
        <w:rPr>
          <w:rFonts w:asciiTheme="minorHAnsi" w:hAnsiTheme="minorHAnsi" w:cstheme="minorHAnsi"/>
          <w:sz w:val="22"/>
          <w:szCs w:val="22"/>
        </w:rPr>
        <w:t xml:space="preserve"> privremeno </w:t>
      </w:r>
      <w:r w:rsidRPr="00110644">
        <w:rPr>
          <w:rFonts w:asciiTheme="minorHAnsi" w:hAnsiTheme="minorHAnsi" w:cstheme="minorHAnsi"/>
          <w:sz w:val="22"/>
          <w:szCs w:val="22"/>
        </w:rPr>
        <w:t xml:space="preserve">trošak rezervnih dijelova, međutim isporučena su sa opremom koja pak iziskuje prilagodbe za rad te </w:t>
      </w:r>
      <w:r w:rsidR="006A5FF2" w:rsidRPr="00110644">
        <w:rPr>
          <w:rFonts w:asciiTheme="minorHAnsi" w:hAnsiTheme="minorHAnsi" w:cstheme="minorHAnsi"/>
          <w:sz w:val="22"/>
          <w:szCs w:val="22"/>
        </w:rPr>
        <w:t xml:space="preserve">trajno </w:t>
      </w:r>
      <w:r w:rsidRPr="00110644">
        <w:rPr>
          <w:rFonts w:asciiTheme="minorHAnsi" w:hAnsiTheme="minorHAnsi" w:cstheme="minorHAnsi"/>
          <w:sz w:val="22"/>
          <w:szCs w:val="22"/>
        </w:rPr>
        <w:t xml:space="preserve">kupovinu specifičnog pribora i potrošnog materijala. </w:t>
      </w:r>
      <w:r w:rsidR="00C26770" w:rsidRPr="00110644">
        <w:rPr>
          <w:rFonts w:asciiTheme="minorHAnsi" w:hAnsiTheme="minorHAnsi" w:cstheme="minorHAnsi"/>
          <w:sz w:val="22"/>
          <w:szCs w:val="22"/>
        </w:rPr>
        <w:t>U smislu racionalizacije poslovanja, s</w:t>
      </w:r>
      <w:r w:rsidR="00010A0F" w:rsidRPr="00110644">
        <w:rPr>
          <w:rFonts w:asciiTheme="minorHAnsi" w:hAnsiTheme="minorHAnsi" w:cstheme="minorHAnsi"/>
          <w:sz w:val="22"/>
          <w:szCs w:val="22"/>
        </w:rPr>
        <w:t>pomenimo da je</w:t>
      </w:r>
      <w:r w:rsidRPr="00110644">
        <w:rPr>
          <w:rFonts w:asciiTheme="minorHAnsi" w:hAnsiTheme="minorHAnsi" w:cstheme="minorHAnsi"/>
          <w:sz w:val="22"/>
          <w:szCs w:val="22"/>
        </w:rPr>
        <w:t xml:space="preserve"> </w:t>
      </w:r>
      <w:r w:rsidR="00010A0F" w:rsidRPr="00110644">
        <w:rPr>
          <w:rFonts w:asciiTheme="minorHAnsi" w:hAnsiTheme="minorHAnsi" w:cstheme="minorHAnsi"/>
          <w:sz w:val="22"/>
          <w:szCs w:val="22"/>
        </w:rPr>
        <w:t>mjesto troška „</w:t>
      </w:r>
      <w:r w:rsidRPr="00110644">
        <w:rPr>
          <w:rFonts w:asciiTheme="minorHAnsi" w:hAnsiTheme="minorHAnsi" w:cstheme="minorHAnsi"/>
          <w:sz w:val="22"/>
          <w:szCs w:val="22"/>
        </w:rPr>
        <w:t>Laboratorij</w:t>
      </w:r>
      <w:r w:rsidR="00010A0F" w:rsidRPr="00110644">
        <w:rPr>
          <w:rFonts w:asciiTheme="minorHAnsi" w:hAnsiTheme="minorHAnsi" w:cstheme="minorHAnsi"/>
          <w:sz w:val="22"/>
          <w:szCs w:val="22"/>
        </w:rPr>
        <w:t>“</w:t>
      </w:r>
      <w:r w:rsidRPr="00110644">
        <w:rPr>
          <w:rFonts w:asciiTheme="minorHAnsi" w:hAnsiTheme="minorHAnsi" w:cstheme="minorHAnsi"/>
          <w:sz w:val="22"/>
          <w:szCs w:val="22"/>
        </w:rPr>
        <w:t xml:space="preserve"> u prvoj polovici 2023. godine presta</w:t>
      </w:r>
      <w:r w:rsidR="00010A0F" w:rsidRPr="00110644">
        <w:rPr>
          <w:rFonts w:asciiTheme="minorHAnsi" w:hAnsiTheme="minorHAnsi" w:cstheme="minorHAnsi"/>
          <w:sz w:val="22"/>
          <w:szCs w:val="22"/>
        </w:rPr>
        <w:t>l</w:t>
      </w:r>
      <w:r w:rsidRPr="00110644">
        <w:rPr>
          <w:rFonts w:asciiTheme="minorHAnsi" w:hAnsiTheme="minorHAnsi" w:cstheme="minorHAnsi"/>
          <w:sz w:val="22"/>
          <w:szCs w:val="22"/>
        </w:rPr>
        <w:t xml:space="preserve">o s </w:t>
      </w:r>
      <w:r w:rsidR="00C26770" w:rsidRPr="00110644">
        <w:rPr>
          <w:rFonts w:asciiTheme="minorHAnsi" w:hAnsiTheme="minorHAnsi" w:cstheme="minorHAnsi"/>
          <w:sz w:val="22"/>
          <w:szCs w:val="22"/>
        </w:rPr>
        <w:t xml:space="preserve">generiranjem </w:t>
      </w:r>
      <w:r w:rsidR="00FA15EB" w:rsidRPr="00110644">
        <w:rPr>
          <w:rFonts w:asciiTheme="minorHAnsi" w:hAnsiTheme="minorHAnsi" w:cstheme="minorHAnsi"/>
          <w:sz w:val="22"/>
          <w:szCs w:val="22"/>
        </w:rPr>
        <w:t xml:space="preserve">analiziranih </w:t>
      </w:r>
      <w:r w:rsidR="00C26770" w:rsidRPr="00110644">
        <w:rPr>
          <w:rFonts w:asciiTheme="minorHAnsi" w:hAnsiTheme="minorHAnsi" w:cstheme="minorHAnsi"/>
          <w:sz w:val="22"/>
          <w:szCs w:val="22"/>
        </w:rPr>
        <w:t>nepotrebnih rashoda. I</w:t>
      </w:r>
      <w:r w:rsidRPr="00110644">
        <w:rPr>
          <w:rFonts w:asciiTheme="minorHAnsi" w:hAnsiTheme="minorHAnsi" w:cstheme="minorHAnsi"/>
          <w:sz w:val="22"/>
          <w:szCs w:val="22"/>
        </w:rPr>
        <w:t>zmjene temeljnih kolektivnih ugovora</w:t>
      </w:r>
      <w:r w:rsidR="00491129" w:rsidRPr="00110644">
        <w:rPr>
          <w:rFonts w:asciiTheme="minorHAnsi" w:hAnsiTheme="minorHAnsi" w:cstheme="minorHAnsi"/>
          <w:sz w:val="22"/>
          <w:szCs w:val="22"/>
        </w:rPr>
        <w:t xml:space="preserve"> u 2023.</w:t>
      </w:r>
      <w:r w:rsidRPr="00110644">
        <w:rPr>
          <w:rFonts w:asciiTheme="minorHAnsi" w:hAnsiTheme="minorHAnsi" w:cstheme="minorHAnsi"/>
          <w:sz w:val="22"/>
          <w:szCs w:val="22"/>
        </w:rPr>
        <w:t xml:space="preserve"> </w:t>
      </w:r>
      <w:r w:rsidR="00491129" w:rsidRPr="00110644">
        <w:rPr>
          <w:rFonts w:asciiTheme="minorHAnsi" w:hAnsiTheme="minorHAnsi" w:cstheme="minorHAnsi"/>
          <w:sz w:val="22"/>
          <w:szCs w:val="22"/>
        </w:rPr>
        <w:t>odnosno</w:t>
      </w:r>
      <w:r w:rsidRPr="00110644">
        <w:rPr>
          <w:rFonts w:asciiTheme="minorHAnsi" w:hAnsiTheme="minorHAnsi" w:cstheme="minorHAnsi"/>
          <w:sz w:val="22"/>
          <w:szCs w:val="22"/>
        </w:rPr>
        <w:t xml:space="preserve"> najave njihovih daljnjih izmjena, stvaraju dodatne rashode</w:t>
      </w:r>
      <w:r w:rsidR="006A5FF2" w:rsidRPr="00110644">
        <w:rPr>
          <w:rFonts w:asciiTheme="minorHAnsi" w:hAnsiTheme="minorHAnsi" w:cstheme="minorHAnsi"/>
          <w:sz w:val="22"/>
          <w:szCs w:val="22"/>
        </w:rPr>
        <w:t xml:space="preserve"> koji </w:t>
      </w:r>
      <w:r w:rsidR="00491129" w:rsidRPr="00110644">
        <w:rPr>
          <w:rFonts w:asciiTheme="minorHAnsi" w:hAnsiTheme="minorHAnsi" w:cstheme="minorHAnsi"/>
          <w:sz w:val="22"/>
          <w:szCs w:val="22"/>
        </w:rPr>
        <w:t>nisu sinh</w:t>
      </w:r>
      <w:r w:rsidRPr="00110644">
        <w:rPr>
          <w:rFonts w:asciiTheme="minorHAnsi" w:hAnsiTheme="minorHAnsi" w:cstheme="minorHAnsi"/>
          <w:sz w:val="22"/>
          <w:szCs w:val="22"/>
        </w:rPr>
        <w:t>ronizirani</w:t>
      </w:r>
      <w:r w:rsidR="00C26770" w:rsidRPr="00110644">
        <w:rPr>
          <w:rFonts w:asciiTheme="minorHAnsi" w:hAnsiTheme="minorHAnsi" w:cstheme="minorHAnsi"/>
          <w:sz w:val="22"/>
          <w:szCs w:val="22"/>
        </w:rPr>
        <w:t xml:space="preserve"> s trenutkom i iznosom </w:t>
      </w:r>
      <w:r w:rsidR="006A5FF2" w:rsidRPr="00110644">
        <w:rPr>
          <w:rFonts w:asciiTheme="minorHAnsi" w:hAnsiTheme="minorHAnsi" w:cstheme="minorHAnsi"/>
          <w:sz w:val="22"/>
          <w:szCs w:val="22"/>
        </w:rPr>
        <w:t>prihoda iz</w:t>
      </w:r>
      <w:r w:rsidR="00C26770" w:rsidRPr="00110644">
        <w:rPr>
          <w:rFonts w:asciiTheme="minorHAnsi" w:hAnsiTheme="minorHAnsi" w:cstheme="minorHAnsi"/>
          <w:sz w:val="22"/>
          <w:szCs w:val="22"/>
        </w:rPr>
        <w:t xml:space="preserve"> koji </w:t>
      </w:r>
      <w:r w:rsidR="006A5FF2" w:rsidRPr="00110644">
        <w:rPr>
          <w:rFonts w:asciiTheme="minorHAnsi" w:hAnsiTheme="minorHAnsi" w:cstheme="minorHAnsi"/>
          <w:sz w:val="22"/>
          <w:szCs w:val="22"/>
        </w:rPr>
        <w:t xml:space="preserve">se </w:t>
      </w:r>
      <w:r w:rsidR="00C26770" w:rsidRPr="00110644">
        <w:rPr>
          <w:rFonts w:asciiTheme="minorHAnsi" w:hAnsiTheme="minorHAnsi" w:cstheme="minorHAnsi"/>
          <w:sz w:val="22"/>
          <w:szCs w:val="22"/>
        </w:rPr>
        <w:t>trebaju namiriti</w:t>
      </w:r>
      <w:r w:rsidRPr="00110644">
        <w:rPr>
          <w:rFonts w:asciiTheme="minorHAnsi" w:hAnsiTheme="minorHAnsi" w:cstheme="minorHAnsi"/>
          <w:sz w:val="22"/>
          <w:szCs w:val="22"/>
        </w:rPr>
        <w:t xml:space="preserve">. </w:t>
      </w:r>
      <w:r w:rsidR="00C26770" w:rsidRPr="00110644">
        <w:rPr>
          <w:rFonts w:asciiTheme="minorHAnsi" w:hAnsiTheme="minorHAnsi" w:cstheme="minorHAnsi"/>
          <w:sz w:val="22"/>
          <w:szCs w:val="22"/>
        </w:rPr>
        <w:t>Nadalje, č</w:t>
      </w:r>
      <w:r w:rsidRPr="00110644">
        <w:rPr>
          <w:rFonts w:asciiTheme="minorHAnsi" w:hAnsiTheme="minorHAnsi" w:cstheme="minorHAnsi"/>
          <w:sz w:val="22"/>
          <w:szCs w:val="22"/>
        </w:rPr>
        <w:t xml:space="preserve">injenica da se kreditni rejting države popravio i da je stopa inflacije smanjena još ne utječu bitno na </w:t>
      </w:r>
      <w:r w:rsidR="00491129" w:rsidRPr="00110644">
        <w:rPr>
          <w:rFonts w:asciiTheme="minorHAnsi" w:hAnsiTheme="minorHAnsi" w:cstheme="minorHAnsi"/>
          <w:sz w:val="22"/>
          <w:szCs w:val="22"/>
        </w:rPr>
        <w:t xml:space="preserve">ionako </w:t>
      </w:r>
      <w:r w:rsidRPr="00110644">
        <w:rPr>
          <w:rFonts w:asciiTheme="minorHAnsi" w:hAnsiTheme="minorHAnsi" w:cstheme="minorHAnsi"/>
          <w:sz w:val="22"/>
          <w:szCs w:val="22"/>
        </w:rPr>
        <w:t>uvećane cijene određenih proizvoda i usluga koje su Zavodu potrebne za funkcioniranje.</w:t>
      </w:r>
    </w:p>
    <w:p w14:paraId="42B9EA02" w14:textId="1003395D" w:rsidR="00C274EF" w:rsidRPr="00110644" w:rsidRDefault="00C274EF" w:rsidP="00C274EF">
      <w:pPr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>Primjenom važećeg računovodstvenog sustava za proračunske korisn</w:t>
      </w:r>
      <w:r w:rsidR="00D70EDE" w:rsidRPr="00110644">
        <w:rPr>
          <w:rFonts w:asciiTheme="minorHAnsi" w:hAnsiTheme="minorHAnsi" w:cstheme="minorHAnsi"/>
          <w:sz w:val="22"/>
          <w:szCs w:val="22"/>
        </w:rPr>
        <w:t>ike po konačnom obračunu za 2023</w:t>
      </w:r>
      <w:r w:rsidRPr="00110644">
        <w:rPr>
          <w:rFonts w:asciiTheme="minorHAnsi" w:hAnsiTheme="minorHAnsi" w:cstheme="minorHAnsi"/>
          <w:sz w:val="22"/>
          <w:szCs w:val="22"/>
        </w:rPr>
        <w:t xml:space="preserve">. iskazan je sljedeći financijski rezultat (Tablica 1). </w:t>
      </w:r>
    </w:p>
    <w:p w14:paraId="7153196D" w14:textId="2459DA1C" w:rsidR="00C274EF" w:rsidRPr="00110644" w:rsidRDefault="00C274EF" w:rsidP="00C274EF">
      <w:pPr>
        <w:pStyle w:val="NoSpacing"/>
        <w:jc w:val="left"/>
        <w:rPr>
          <w:rFonts w:asciiTheme="minorHAnsi" w:hAnsiTheme="minorHAnsi" w:cstheme="minorHAnsi"/>
          <w:i/>
        </w:rPr>
      </w:pPr>
      <w:bookmarkStart w:id="1" w:name="_Toc472786073"/>
      <w:r w:rsidRPr="00110644">
        <w:rPr>
          <w:rFonts w:asciiTheme="minorHAnsi" w:hAnsiTheme="minorHAnsi" w:cstheme="minorHAnsi"/>
          <w:i/>
        </w:rPr>
        <w:t xml:space="preserve">Tablica </w:t>
      </w:r>
      <w:r w:rsidR="00542F7E" w:rsidRPr="00110644">
        <w:rPr>
          <w:rFonts w:asciiTheme="minorHAnsi" w:hAnsiTheme="minorHAnsi" w:cstheme="minorHAnsi"/>
          <w:i/>
        </w:rPr>
        <w:fldChar w:fldCharType="begin"/>
      </w:r>
      <w:r w:rsidRPr="00110644">
        <w:rPr>
          <w:rFonts w:asciiTheme="minorHAnsi" w:hAnsiTheme="minorHAnsi" w:cstheme="minorHAnsi"/>
          <w:i/>
        </w:rPr>
        <w:instrText xml:space="preserve"> SEQ Tablica \* ARABIC </w:instrText>
      </w:r>
      <w:r w:rsidR="00542F7E" w:rsidRPr="00110644">
        <w:rPr>
          <w:rFonts w:asciiTheme="minorHAnsi" w:hAnsiTheme="minorHAnsi" w:cstheme="minorHAnsi"/>
          <w:i/>
        </w:rPr>
        <w:fldChar w:fldCharType="separate"/>
      </w:r>
      <w:r w:rsidR="00261536">
        <w:rPr>
          <w:rFonts w:asciiTheme="minorHAnsi" w:hAnsiTheme="minorHAnsi" w:cstheme="minorHAnsi"/>
          <w:i/>
          <w:noProof/>
        </w:rPr>
        <w:t>1</w:t>
      </w:r>
      <w:r w:rsidR="00542F7E" w:rsidRPr="00110644">
        <w:rPr>
          <w:rFonts w:asciiTheme="minorHAnsi" w:hAnsiTheme="minorHAnsi" w:cstheme="minorHAnsi"/>
          <w:i/>
        </w:rPr>
        <w:fldChar w:fldCharType="end"/>
      </w:r>
      <w:r w:rsidRPr="00110644">
        <w:rPr>
          <w:rFonts w:asciiTheme="minorHAnsi" w:hAnsiTheme="minorHAnsi" w:cstheme="minorHAnsi"/>
          <w:i/>
        </w:rPr>
        <w:t xml:space="preserve">: </w:t>
      </w:r>
      <w:r w:rsidR="00D2362F">
        <w:rPr>
          <w:rFonts w:asciiTheme="minorHAnsi" w:hAnsiTheme="minorHAnsi" w:cstheme="minorHAnsi"/>
          <w:i/>
        </w:rPr>
        <w:t>Sažetak - p</w:t>
      </w:r>
      <w:r w:rsidRPr="00110644">
        <w:rPr>
          <w:rFonts w:asciiTheme="minorHAnsi" w:hAnsiTheme="minorHAnsi" w:cstheme="minorHAnsi"/>
          <w:i/>
        </w:rPr>
        <w:t>rihodi, rashodi i višak</w:t>
      </w:r>
      <w:r w:rsidR="00BC72BE">
        <w:rPr>
          <w:rFonts w:asciiTheme="minorHAnsi" w:hAnsiTheme="minorHAnsi" w:cstheme="minorHAnsi"/>
          <w:i/>
        </w:rPr>
        <w:t>/manjak</w:t>
      </w:r>
      <w:bookmarkEnd w:id="1"/>
      <w:r w:rsidR="00D2362F">
        <w:rPr>
          <w:rFonts w:asciiTheme="minorHAnsi" w:hAnsiTheme="minorHAnsi" w:cstheme="minorHAnsi"/>
          <w:i/>
        </w:rPr>
        <w:t xml:space="preserve"> </w:t>
      </w:r>
      <w:r w:rsidR="00BC72BE">
        <w:rPr>
          <w:rFonts w:asciiTheme="minorHAnsi" w:hAnsiTheme="minorHAnsi" w:cstheme="minorHAnsi"/>
          <w:i/>
        </w:rPr>
        <w:t xml:space="preserve">(u EUR, bez </w:t>
      </w:r>
      <w:proofErr w:type="spellStart"/>
      <w:r w:rsidR="00BC72BE">
        <w:rPr>
          <w:rFonts w:asciiTheme="minorHAnsi" w:hAnsiTheme="minorHAnsi" w:cstheme="minorHAnsi"/>
          <w:i/>
        </w:rPr>
        <w:t>eurocenti</w:t>
      </w:r>
      <w:proofErr w:type="spellEnd"/>
      <w:r w:rsidR="00BC72BE">
        <w:rPr>
          <w:rFonts w:asciiTheme="minorHAnsi" w:hAnsiTheme="minorHAnsi" w:cstheme="minorHAnsi"/>
          <w:i/>
        </w:rPr>
        <w:t>)</w:t>
      </w:r>
    </w:p>
    <w:tbl>
      <w:tblPr>
        <w:tblW w:w="9896" w:type="dxa"/>
        <w:tblLook w:val="04A0" w:firstRow="1" w:lastRow="0" w:firstColumn="1" w:lastColumn="0" w:noHBand="0" w:noVBand="1"/>
      </w:tblPr>
      <w:tblGrid>
        <w:gridCol w:w="419"/>
        <w:gridCol w:w="4117"/>
        <w:gridCol w:w="1220"/>
        <w:gridCol w:w="1300"/>
        <w:gridCol w:w="1220"/>
        <w:gridCol w:w="800"/>
        <w:gridCol w:w="820"/>
      </w:tblGrid>
      <w:tr w:rsidR="00FF156E" w:rsidRPr="00FF156E" w14:paraId="4547FA9A" w14:textId="77777777" w:rsidTr="00FF156E">
        <w:trPr>
          <w:trHeight w:val="6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305496" w:fill="305496"/>
            <w:vAlign w:val="center"/>
            <w:hideMark/>
          </w:tcPr>
          <w:p w14:paraId="3DC03753" w14:textId="77777777" w:rsidR="00FF156E" w:rsidRPr="00FF156E" w:rsidRDefault="00FF156E" w:rsidP="00FF156E">
            <w:pPr>
              <w:spacing w:after="0" w:line="240" w:lineRule="auto"/>
              <w:ind w:firstLine="0"/>
              <w:jc w:val="left"/>
              <w:rPr>
                <w:rFonts w:cs="Calibri"/>
                <w:color w:val="FFFFFF"/>
                <w:sz w:val="18"/>
                <w:szCs w:val="18"/>
              </w:rPr>
            </w:pPr>
            <w:r w:rsidRPr="00FF156E">
              <w:rPr>
                <w:rFonts w:cs="Calibri"/>
                <w:color w:val="FFFFFF"/>
                <w:sz w:val="18"/>
                <w:szCs w:val="18"/>
              </w:rPr>
              <w:t>R. br.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305496" w:fill="305496"/>
            <w:noWrap/>
            <w:vAlign w:val="center"/>
            <w:hideMark/>
          </w:tcPr>
          <w:p w14:paraId="1217510F" w14:textId="77777777" w:rsidR="00FF156E" w:rsidRPr="00FF156E" w:rsidRDefault="00FF156E" w:rsidP="00FF156E">
            <w:pPr>
              <w:spacing w:after="0" w:line="240" w:lineRule="auto"/>
              <w:ind w:firstLine="0"/>
              <w:jc w:val="left"/>
              <w:rPr>
                <w:rFonts w:cs="Calibri"/>
                <w:color w:val="FFFFFF"/>
                <w:sz w:val="22"/>
                <w:szCs w:val="22"/>
              </w:rPr>
            </w:pPr>
            <w:r w:rsidRPr="00FF156E">
              <w:rPr>
                <w:rFonts w:cs="Calibri"/>
                <w:color w:val="FFFFFF"/>
                <w:sz w:val="22"/>
                <w:szCs w:val="22"/>
              </w:rPr>
              <w:t>NAZIV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305496" w:fill="305496"/>
            <w:noWrap/>
            <w:vAlign w:val="center"/>
            <w:hideMark/>
          </w:tcPr>
          <w:p w14:paraId="238D6C97" w14:textId="77777777" w:rsidR="00FF156E" w:rsidRPr="00FF156E" w:rsidRDefault="00FF156E" w:rsidP="00FF156E">
            <w:pPr>
              <w:spacing w:after="0" w:line="240" w:lineRule="auto"/>
              <w:ind w:firstLine="0"/>
              <w:jc w:val="left"/>
              <w:rPr>
                <w:rFonts w:cs="Calibri"/>
                <w:color w:val="FFFFFF"/>
                <w:sz w:val="22"/>
                <w:szCs w:val="22"/>
              </w:rPr>
            </w:pPr>
            <w:r w:rsidRPr="00FF156E">
              <w:rPr>
                <w:rFonts w:cs="Calibri"/>
                <w:color w:val="FFFFFF"/>
                <w:sz w:val="22"/>
                <w:szCs w:val="22"/>
              </w:rPr>
              <w:t>Plan 2023.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305496" w:fill="305496"/>
            <w:vAlign w:val="center"/>
            <w:hideMark/>
          </w:tcPr>
          <w:p w14:paraId="038BA2EB" w14:textId="77777777" w:rsidR="00FF156E" w:rsidRPr="00FF156E" w:rsidRDefault="00FF156E" w:rsidP="00FF156E">
            <w:pPr>
              <w:spacing w:after="0" w:line="240" w:lineRule="auto"/>
              <w:ind w:firstLine="0"/>
              <w:jc w:val="center"/>
              <w:rPr>
                <w:rFonts w:cs="Calibri"/>
                <w:color w:val="FFFFFF"/>
                <w:sz w:val="22"/>
                <w:szCs w:val="22"/>
              </w:rPr>
            </w:pPr>
            <w:r w:rsidRPr="00FF156E">
              <w:rPr>
                <w:rFonts w:cs="Calibri"/>
                <w:color w:val="FFFFFF"/>
                <w:sz w:val="22"/>
                <w:szCs w:val="22"/>
              </w:rPr>
              <w:t>Ostvarenje 2022.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305496" w:fill="305496"/>
            <w:vAlign w:val="center"/>
            <w:hideMark/>
          </w:tcPr>
          <w:p w14:paraId="1EF5BE7B" w14:textId="77777777" w:rsidR="00FF156E" w:rsidRPr="00FF156E" w:rsidRDefault="00FF156E" w:rsidP="00FF156E">
            <w:pPr>
              <w:spacing w:after="0" w:line="240" w:lineRule="auto"/>
              <w:ind w:firstLine="0"/>
              <w:jc w:val="center"/>
              <w:rPr>
                <w:rFonts w:cs="Calibri"/>
                <w:color w:val="FFFFFF"/>
                <w:sz w:val="22"/>
                <w:szCs w:val="22"/>
              </w:rPr>
            </w:pPr>
            <w:r w:rsidRPr="00FF156E">
              <w:rPr>
                <w:rFonts w:cs="Calibri"/>
                <w:color w:val="FFFFFF"/>
                <w:sz w:val="22"/>
                <w:szCs w:val="22"/>
              </w:rPr>
              <w:t>Ostvarenje 2023.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305496" w:fill="305496"/>
            <w:vAlign w:val="center"/>
            <w:hideMark/>
          </w:tcPr>
          <w:p w14:paraId="5499357F" w14:textId="77777777" w:rsidR="00FF156E" w:rsidRPr="00FF156E" w:rsidRDefault="00FF156E" w:rsidP="00FF156E">
            <w:pPr>
              <w:spacing w:after="0" w:line="240" w:lineRule="auto"/>
              <w:ind w:firstLine="0"/>
              <w:jc w:val="center"/>
              <w:rPr>
                <w:rFonts w:cs="Calibri"/>
                <w:color w:val="FFFFFF"/>
                <w:sz w:val="22"/>
                <w:szCs w:val="22"/>
              </w:rPr>
            </w:pPr>
            <w:r w:rsidRPr="00FF156E">
              <w:rPr>
                <w:rFonts w:cs="Calibri"/>
                <w:color w:val="FFFFFF"/>
                <w:sz w:val="22"/>
                <w:szCs w:val="22"/>
              </w:rPr>
              <w:t>Indeks 4/2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305496" w:fill="305496"/>
            <w:vAlign w:val="center"/>
            <w:hideMark/>
          </w:tcPr>
          <w:p w14:paraId="14A6278D" w14:textId="77777777" w:rsidR="00FF156E" w:rsidRPr="00FF156E" w:rsidRDefault="00FF156E" w:rsidP="00FF156E">
            <w:pPr>
              <w:spacing w:after="0" w:line="240" w:lineRule="auto"/>
              <w:ind w:firstLine="0"/>
              <w:jc w:val="center"/>
              <w:rPr>
                <w:rFonts w:cs="Calibri"/>
                <w:color w:val="FFFFFF"/>
                <w:sz w:val="22"/>
                <w:szCs w:val="22"/>
              </w:rPr>
            </w:pPr>
            <w:r w:rsidRPr="00FF156E">
              <w:rPr>
                <w:rFonts w:cs="Calibri"/>
                <w:color w:val="FFFFFF"/>
                <w:sz w:val="22"/>
                <w:szCs w:val="22"/>
              </w:rPr>
              <w:t>Indeks 4/3</w:t>
            </w:r>
          </w:p>
        </w:tc>
      </w:tr>
      <w:tr w:rsidR="00FF156E" w:rsidRPr="00FF156E" w14:paraId="104C3E8C" w14:textId="77777777" w:rsidTr="00FF156E">
        <w:trPr>
          <w:trHeight w:val="22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65D07E" w14:textId="77777777" w:rsidR="00FF156E" w:rsidRPr="00FF156E" w:rsidRDefault="00FF156E" w:rsidP="00FF156E">
            <w:pPr>
              <w:spacing w:after="0" w:line="240" w:lineRule="auto"/>
              <w:ind w:firstLine="0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FF156E">
              <w:rPr>
                <w:rFonts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C56DA" w14:textId="77777777" w:rsidR="00FF156E" w:rsidRPr="00FF156E" w:rsidRDefault="00FF156E" w:rsidP="00FF156E">
            <w:pPr>
              <w:spacing w:after="0" w:line="240" w:lineRule="auto"/>
              <w:ind w:firstLine="0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FF156E">
              <w:rPr>
                <w:rFonts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CC462" w14:textId="77777777" w:rsidR="00FF156E" w:rsidRPr="00FF156E" w:rsidRDefault="00FF156E" w:rsidP="00FF156E">
            <w:pPr>
              <w:spacing w:after="0" w:line="240" w:lineRule="auto"/>
              <w:ind w:firstLine="0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FF156E">
              <w:rPr>
                <w:rFonts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6BF9C" w14:textId="77777777" w:rsidR="00FF156E" w:rsidRPr="00FF156E" w:rsidRDefault="00FF156E" w:rsidP="00FF156E">
            <w:pPr>
              <w:spacing w:after="0" w:line="240" w:lineRule="auto"/>
              <w:ind w:firstLine="0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FF156E">
              <w:rPr>
                <w:rFonts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1C5F9" w14:textId="77777777" w:rsidR="00FF156E" w:rsidRPr="00FF156E" w:rsidRDefault="00FF156E" w:rsidP="00FF156E">
            <w:pPr>
              <w:spacing w:after="0" w:line="240" w:lineRule="auto"/>
              <w:ind w:firstLine="0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FF156E">
              <w:rPr>
                <w:rFonts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4B680" w14:textId="77777777" w:rsidR="00FF156E" w:rsidRPr="00FF156E" w:rsidRDefault="00FF156E" w:rsidP="00FF156E">
            <w:pPr>
              <w:spacing w:after="0" w:line="240" w:lineRule="auto"/>
              <w:ind w:firstLine="0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FF156E">
              <w:rPr>
                <w:rFonts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A2C8F" w14:textId="77777777" w:rsidR="00FF156E" w:rsidRPr="00FF156E" w:rsidRDefault="00FF156E" w:rsidP="00FF156E">
            <w:pPr>
              <w:spacing w:after="0" w:line="240" w:lineRule="auto"/>
              <w:ind w:firstLine="0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FF156E">
              <w:rPr>
                <w:rFonts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</w:tr>
      <w:tr w:rsidR="00FF156E" w:rsidRPr="00FF156E" w14:paraId="6507009D" w14:textId="77777777" w:rsidTr="00FF156E">
        <w:trPr>
          <w:trHeight w:val="300"/>
        </w:trPr>
        <w:tc>
          <w:tcPr>
            <w:tcW w:w="41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808371B" w14:textId="77777777" w:rsidR="00FF156E" w:rsidRPr="00FF156E" w:rsidRDefault="00FF156E" w:rsidP="00FF156E">
            <w:pPr>
              <w:spacing w:after="0" w:line="240" w:lineRule="auto"/>
              <w:ind w:firstLine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FF156E">
              <w:rPr>
                <w:rFonts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1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E36F421" w14:textId="5B79A316" w:rsidR="00FF156E" w:rsidRPr="00FF156E" w:rsidRDefault="00FF156E" w:rsidP="00FF156E">
            <w:pPr>
              <w:spacing w:after="0" w:line="240" w:lineRule="auto"/>
              <w:ind w:firstLine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FF156E">
              <w:rPr>
                <w:rFonts w:cs="Calibri"/>
                <w:color w:val="000000"/>
                <w:sz w:val="22"/>
                <w:szCs w:val="22"/>
              </w:rPr>
              <w:t>Ukupan prihod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i primici</w:t>
            </w:r>
          </w:p>
        </w:tc>
        <w:tc>
          <w:tcPr>
            <w:tcW w:w="122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D40705A" w14:textId="77777777" w:rsidR="00FF156E" w:rsidRPr="00FF156E" w:rsidRDefault="00FF156E" w:rsidP="00FF156E">
            <w:pPr>
              <w:spacing w:after="0" w:line="240" w:lineRule="auto"/>
              <w:ind w:firstLine="0"/>
              <w:jc w:val="right"/>
              <w:rPr>
                <w:rFonts w:cs="Calibri"/>
                <w:color w:val="C00000"/>
                <w:sz w:val="22"/>
                <w:szCs w:val="22"/>
              </w:rPr>
            </w:pPr>
            <w:r w:rsidRPr="00FF156E">
              <w:rPr>
                <w:rFonts w:cs="Calibri"/>
                <w:color w:val="C00000"/>
                <w:sz w:val="22"/>
                <w:szCs w:val="22"/>
              </w:rPr>
              <w:t>15.885.730</w:t>
            </w:r>
          </w:p>
        </w:tc>
        <w:tc>
          <w:tcPr>
            <w:tcW w:w="13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C2308C9" w14:textId="77777777" w:rsidR="00FF156E" w:rsidRPr="00FF156E" w:rsidRDefault="00FF156E" w:rsidP="00FF156E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F156E">
              <w:rPr>
                <w:rFonts w:cs="Calibri"/>
                <w:color w:val="000000"/>
                <w:sz w:val="22"/>
                <w:szCs w:val="22"/>
              </w:rPr>
              <w:t>18.059.634</w:t>
            </w:r>
          </w:p>
        </w:tc>
        <w:tc>
          <w:tcPr>
            <w:tcW w:w="122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714C391" w14:textId="77777777" w:rsidR="00FF156E" w:rsidRPr="00FF156E" w:rsidRDefault="00FF156E" w:rsidP="00FF156E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F156E">
              <w:rPr>
                <w:rFonts w:cs="Calibri"/>
                <w:color w:val="000000"/>
                <w:sz w:val="22"/>
                <w:szCs w:val="22"/>
              </w:rPr>
              <w:t>15.919.274</w:t>
            </w:r>
          </w:p>
        </w:tc>
        <w:tc>
          <w:tcPr>
            <w:tcW w:w="8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29F3C29" w14:textId="77777777" w:rsidR="00FF156E" w:rsidRPr="00FF156E" w:rsidRDefault="00FF156E" w:rsidP="00FF156E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F156E">
              <w:rPr>
                <w:rFonts w:cs="Calibri"/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82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1D3CA5B" w14:textId="77777777" w:rsidR="00FF156E" w:rsidRPr="00FF156E" w:rsidRDefault="00FF156E" w:rsidP="00FF156E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F156E">
              <w:rPr>
                <w:rFonts w:cs="Calibri"/>
                <w:color w:val="000000"/>
                <w:sz w:val="22"/>
                <w:szCs w:val="22"/>
              </w:rPr>
              <w:t>88,1</w:t>
            </w:r>
          </w:p>
        </w:tc>
      </w:tr>
      <w:tr w:rsidR="00FF156E" w:rsidRPr="00FF156E" w14:paraId="39C0A105" w14:textId="77777777" w:rsidTr="00FF156E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AF751B" w14:textId="77777777" w:rsidR="00FF156E" w:rsidRPr="00FF156E" w:rsidRDefault="00FF156E" w:rsidP="00FF156E">
            <w:pPr>
              <w:spacing w:after="0" w:line="240" w:lineRule="auto"/>
              <w:ind w:firstLine="0"/>
              <w:jc w:val="left"/>
              <w:rPr>
                <w:rFonts w:cs="Calibri"/>
                <w:sz w:val="22"/>
                <w:szCs w:val="22"/>
              </w:rPr>
            </w:pPr>
            <w:r w:rsidRPr="00FF156E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C6021" w14:textId="77777777" w:rsidR="00FF156E" w:rsidRPr="00FF156E" w:rsidRDefault="00FF156E" w:rsidP="00FF156E">
            <w:pPr>
              <w:spacing w:after="0" w:line="240" w:lineRule="auto"/>
              <w:ind w:firstLine="0"/>
              <w:jc w:val="left"/>
              <w:rPr>
                <w:rFonts w:cs="Calibri"/>
                <w:sz w:val="22"/>
                <w:szCs w:val="22"/>
              </w:rPr>
            </w:pPr>
            <w:r w:rsidRPr="00FF156E">
              <w:rPr>
                <w:rFonts w:cs="Calibri"/>
                <w:sz w:val="22"/>
                <w:szCs w:val="22"/>
              </w:rPr>
              <w:t xml:space="preserve">Manjak prihoda iz </w:t>
            </w:r>
            <w:proofErr w:type="spellStart"/>
            <w:r w:rsidRPr="00FF156E">
              <w:rPr>
                <w:rFonts w:cs="Calibri"/>
                <w:sz w:val="22"/>
                <w:szCs w:val="22"/>
              </w:rPr>
              <w:t>preth</w:t>
            </w:r>
            <w:proofErr w:type="spellEnd"/>
            <w:r w:rsidRPr="00FF156E">
              <w:rPr>
                <w:rFonts w:cs="Calibri"/>
                <w:sz w:val="22"/>
                <w:szCs w:val="22"/>
              </w:rPr>
              <w:t>. godine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0AB3A" w14:textId="77777777" w:rsidR="00FF156E" w:rsidRPr="00FF156E" w:rsidRDefault="00FF156E" w:rsidP="00FF156E">
            <w:pPr>
              <w:spacing w:after="0" w:line="240" w:lineRule="auto"/>
              <w:ind w:firstLine="0"/>
              <w:jc w:val="left"/>
              <w:rPr>
                <w:rFonts w:cs="Calibri"/>
                <w:color w:val="C00000"/>
                <w:sz w:val="22"/>
                <w:szCs w:val="22"/>
              </w:rPr>
            </w:pPr>
            <w:r w:rsidRPr="00FF156E">
              <w:rPr>
                <w:rFonts w:cs="Calibri"/>
                <w:color w:val="C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5B6B8" w14:textId="77777777" w:rsidR="00FF156E" w:rsidRPr="00FF156E" w:rsidRDefault="00FF156E" w:rsidP="00FF156E">
            <w:pPr>
              <w:spacing w:after="0" w:line="240" w:lineRule="auto"/>
              <w:ind w:firstLine="0"/>
              <w:jc w:val="right"/>
              <w:rPr>
                <w:rFonts w:cs="Calibri"/>
                <w:color w:val="FF0000"/>
                <w:sz w:val="22"/>
                <w:szCs w:val="22"/>
              </w:rPr>
            </w:pPr>
            <w:r w:rsidRPr="00FF156E">
              <w:rPr>
                <w:rFonts w:cs="Calibri"/>
                <w:color w:val="FF0000"/>
                <w:sz w:val="22"/>
                <w:szCs w:val="22"/>
              </w:rPr>
              <w:t>-392.680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FAB34" w14:textId="77777777" w:rsidR="00FF156E" w:rsidRPr="00FF156E" w:rsidRDefault="00FF156E" w:rsidP="00FF156E">
            <w:pPr>
              <w:spacing w:after="0" w:line="240" w:lineRule="auto"/>
              <w:ind w:firstLine="0"/>
              <w:jc w:val="right"/>
              <w:rPr>
                <w:rFonts w:cs="Calibri"/>
                <w:color w:val="FF0000"/>
                <w:sz w:val="22"/>
                <w:szCs w:val="22"/>
              </w:rPr>
            </w:pPr>
            <w:r w:rsidRPr="00FF156E">
              <w:rPr>
                <w:rFonts w:cs="Calibri"/>
                <w:color w:val="FF0000"/>
                <w:sz w:val="22"/>
                <w:szCs w:val="22"/>
              </w:rPr>
              <w:t>-699.659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7B51E" w14:textId="77777777" w:rsidR="00FF156E" w:rsidRPr="00FF156E" w:rsidRDefault="00FF156E" w:rsidP="00FF156E">
            <w:pPr>
              <w:spacing w:after="0" w:line="240" w:lineRule="auto"/>
              <w:ind w:firstLine="0"/>
              <w:jc w:val="left"/>
              <w:rPr>
                <w:rFonts w:cs="Calibri"/>
                <w:color w:val="FF0000"/>
                <w:sz w:val="22"/>
                <w:szCs w:val="22"/>
              </w:rPr>
            </w:pPr>
            <w:r w:rsidRPr="00FF156E">
              <w:rPr>
                <w:rFonts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C27D2" w14:textId="77777777" w:rsidR="00FF156E" w:rsidRPr="00FF156E" w:rsidRDefault="00FF156E" w:rsidP="00FF156E">
            <w:pPr>
              <w:spacing w:after="0" w:line="240" w:lineRule="auto"/>
              <w:ind w:firstLine="0"/>
              <w:jc w:val="right"/>
              <w:rPr>
                <w:rFonts w:cs="Calibri"/>
                <w:sz w:val="22"/>
                <w:szCs w:val="22"/>
              </w:rPr>
            </w:pPr>
            <w:r w:rsidRPr="00FF156E">
              <w:rPr>
                <w:rFonts w:cs="Calibri"/>
                <w:sz w:val="22"/>
                <w:szCs w:val="22"/>
              </w:rPr>
              <w:t>178,2</w:t>
            </w:r>
          </w:p>
        </w:tc>
      </w:tr>
      <w:tr w:rsidR="00FF156E" w:rsidRPr="00FF156E" w14:paraId="435E0B13" w14:textId="77777777" w:rsidTr="00FF156E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EE0EDD" w14:textId="77777777" w:rsidR="00FF156E" w:rsidRPr="00FF156E" w:rsidRDefault="00FF156E" w:rsidP="00FF156E">
            <w:pPr>
              <w:spacing w:after="0" w:line="240" w:lineRule="auto"/>
              <w:ind w:firstLine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FF156E">
              <w:rPr>
                <w:rFonts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D0A28" w14:textId="77777777" w:rsidR="00FF156E" w:rsidRPr="00FF156E" w:rsidRDefault="00FF156E" w:rsidP="00FF156E">
            <w:pPr>
              <w:spacing w:after="0" w:line="240" w:lineRule="auto"/>
              <w:ind w:firstLine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FF156E">
              <w:rPr>
                <w:rFonts w:cs="Calibri"/>
                <w:color w:val="000000"/>
                <w:sz w:val="22"/>
                <w:szCs w:val="22"/>
              </w:rPr>
              <w:t>Ukupno raspoloživa sredstva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B5A28" w14:textId="77777777" w:rsidR="00FF156E" w:rsidRPr="00FF156E" w:rsidRDefault="00FF156E" w:rsidP="00FF156E">
            <w:pPr>
              <w:spacing w:after="0" w:line="240" w:lineRule="auto"/>
              <w:ind w:firstLine="0"/>
              <w:jc w:val="right"/>
              <w:rPr>
                <w:rFonts w:cs="Calibri"/>
                <w:color w:val="C00000"/>
                <w:sz w:val="22"/>
                <w:szCs w:val="22"/>
              </w:rPr>
            </w:pPr>
            <w:r w:rsidRPr="00FF156E">
              <w:rPr>
                <w:rFonts w:cs="Calibri"/>
                <w:color w:val="C00000"/>
                <w:sz w:val="22"/>
                <w:szCs w:val="22"/>
              </w:rPr>
              <w:t>15.885.730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E57CA" w14:textId="77777777" w:rsidR="00FF156E" w:rsidRPr="00FF156E" w:rsidRDefault="00FF156E" w:rsidP="00FF156E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F156E">
              <w:rPr>
                <w:rFonts w:cs="Calibri"/>
                <w:color w:val="000000"/>
                <w:sz w:val="22"/>
                <w:szCs w:val="22"/>
              </w:rPr>
              <w:t>17.666.954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AE77B" w14:textId="77777777" w:rsidR="00FF156E" w:rsidRPr="00FF156E" w:rsidRDefault="00FF156E" w:rsidP="00FF156E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F156E">
              <w:rPr>
                <w:rFonts w:cs="Calibri"/>
                <w:color w:val="000000"/>
                <w:sz w:val="22"/>
                <w:szCs w:val="22"/>
              </w:rPr>
              <w:t>15.219.615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F2057" w14:textId="77777777" w:rsidR="00FF156E" w:rsidRPr="00FF156E" w:rsidRDefault="00FF156E" w:rsidP="00FF156E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F156E">
              <w:rPr>
                <w:rFonts w:cs="Calibri"/>
                <w:color w:val="000000"/>
                <w:sz w:val="22"/>
                <w:szCs w:val="22"/>
              </w:rPr>
              <w:t>95,8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88E76" w14:textId="77777777" w:rsidR="00FF156E" w:rsidRPr="00FF156E" w:rsidRDefault="00FF156E" w:rsidP="00FF156E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F156E">
              <w:rPr>
                <w:rFonts w:cs="Calibri"/>
                <w:color w:val="000000"/>
                <w:sz w:val="22"/>
                <w:szCs w:val="22"/>
              </w:rPr>
              <w:t>86,1</w:t>
            </w:r>
          </w:p>
        </w:tc>
      </w:tr>
      <w:tr w:rsidR="00FF156E" w:rsidRPr="00FF156E" w14:paraId="5EFE9D60" w14:textId="77777777" w:rsidTr="00FF156E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9DBB950" w14:textId="77777777" w:rsidR="00FF156E" w:rsidRPr="00FF156E" w:rsidRDefault="00FF156E" w:rsidP="00FF156E">
            <w:pPr>
              <w:spacing w:after="0" w:line="240" w:lineRule="auto"/>
              <w:ind w:firstLine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FF156E">
              <w:rPr>
                <w:rFonts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D60EAA2" w14:textId="3987C7D2" w:rsidR="00FF156E" w:rsidRPr="00FF156E" w:rsidRDefault="00FF156E" w:rsidP="00FF156E">
            <w:pPr>
              <w:spacing w:after="0" w:line="240" w:lineRule="auto"/>
              <w:ind w:firstLine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FF156E">
              <w:rPr>
                <w:rFonts w:cs="Calibri"/>
                <w:color w:val="000000"/>
                <w:sz w:val="22"/>
                <w:szCs w:val="22"/>
              </w:rPr>
              <w:t>Ukupni rashodi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i izdaci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A162803" w14:textId="77777777" w:rsidR="00FF156E" w:rsidRPr="00FF156E" w:rsidRDefault="00FF156E" w:rsidP="00FF156E">
            <w:pPr>
              <w:spacing w:after="0" w:line="240" w:lineRule="auto"/>
              <w:ind w:firstLine="0"/>
              <w:jc w:val="right"/>
              <w:rPr>
                <w:rFonts w:cs="Calibri"/>
                <w:color w:val="C00000"/>
                <w:sz w:val="22"/>
                <w:szCs w:val="22"/>
              </w:rPr>
            </w:pPr>
            <w:r w:rsidRPr="00FF156E">
              <w:rPr>
                <w:rFonts w:cs="Calibri"/>
                <w:color w:val="C00000"/>
                <w:sz w:val="22"/>
                <w:szCs w:val="22"/>
              </w:rPr>
              <w:t>15.885.730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F09C8CA" w14:textId="77777777" w:rsidR="00FF156E" w:rsidRPr="00FF156E" w:rsidRDefault="00FF156E" w:rsidP="00FF156E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F156E">
              <w:rPr>
                <w:rFonts w:cs="Calibri"/>
                <w:color w:val="000000"/>
                <w:sz w:val="22"/>
                <w:szCs w:val="22"/>
              </w:rPr>
              <w:t>18.366.613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568D516" w14:textId="77777777" w:rsidR="00FF156E" w:rsidRPr="00FF156E" w:rsidRDefault="00FF156E" w:rsidP="00FF156E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F156E">
              <w:rPr>
                <w:rFonts w:cs="Calibri"/>
                <w:color w:val="000000"/>
                <w:sz w:val="22"/>
                <w:szCs w:val="22"/>
              </w:rPr>
              <w:t>16.566.092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1C36F73" w14:textId="77777777" w:rsidR="00FF156E" w:rsidRPr="00FF156E" w:rsidRDefault="00FF156E" w:rsidP="00FF156E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F156E">
              <w:rPr>
                <w:rFonts w:cs="Calibri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1979366" w14:textId="77777777" w:rsidR="00FF156E" w:rsidRPr="00FF156E" w:rsidRDefault="00FF156E" w:rsidP="00FF156E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F156E">
              <w:rPr>
                <w:rFonts w:cs="Calibri"/>
                <w:color w:val="000000"/>
                <w:sz w:val="22"/>
                <w:szCs w:val="22"/>
              </w:rPr>
              <w:t>90,2</w:t>
            </w:r>
          </w:p>
        </w:tc>
      </w:tr>
      <w:tr w:rsidR="00FF156E" w:rsidRPr="00FF156E" w14:paraId="13C52FB2" w14:textId="77777777" w:rsidTr="00FF156E">
        <w:trPr>
          <w:trHeight w:val="339"/>
        </w:trPr>
        <w:tc>
          <w:tcPr>
            <w:tcW w:w="41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84650" w14:textId="77777777" w:rsidR="00FF156E" w:rsidRPr="00FF156E" w:rsidRDefault="00FF156E" w:rsidP="00FF156E">
            <w:pPr>
              <w:spacing w:after="0" w:line="240" w:lineRule="auto"/>
              <w:ind w:firstLine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FF156E">
              <w:rPr>
                <w:rFonts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11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E4E1E" w14:textId="77777777" w:rsidR="00FF156E" w:rsidRPr="00FF156E" w:rsidRDefault="00FF156E" w:rsidP="00FF156E">
            <w:pPr>
              <w:spacing w:after="0" w:line="240" w:lineRule="auto"/>
              <w:ind w:firstLine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FF156E">
              <w:rPr>
                <w:rFonts w:cs="Calibri"/>
                <w:color w:val="000000"/>
                <w:sz w:val="22"/>
                <w:szCs w:val="22"/>
              </w:rPr>
              <w:t xml:space="preserve">Manjak prihoda po konačnom obračunu </w:t>
            </w:r>
          </w:p>
        </w:tc>
        <w:tc>
          <w:tcPr>
            <w:tcW w:w="122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7B3AF" w14:textId="77777777" w:rsidR="00FF156E" w:rsidRPr="00FF156E" w:rsidRDefault="00FF156E" w:rsidP="00FF156E">
            <w:pPr>
              <w:spacing w:after="0" w:line="240" w:lineRule="auto"/>
              <w:ind w:firstLine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FF156E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511CB" w14:textId="77777777" w:rsidR="00FF156E" w:rsidRPr="00FF156E" w:rsidRDefault="00FF156E" w:rsidP="00FF156E">
            <w:pPr>
              <w:spacing w:after="0" w:line="240" w:lineRule="auto"/>
              <w:ind w:firstLine="0"/>
              <w:jc w:val="right"/>
              <w:rPr>
                <w:rFonts w:cs="Calibri"/>
                <w:color w:val="FF0000"/>
                <w:sz w:val="22"/>
                <w:szCs w:val="22"/>
              </w:rPr>
            </w:pPr>
            <w:r w:rsidRPr="00FF156E">
              <w:rPr>
                <w:rFonts w:cs="Calibri"/>
                <w:color w:val="FF0000"/>
                <w:sz w:val="22"/>
                <w:szCs w:val="22"/>
              </w:rPr>
              <w:t>-699.659</w:t>
            </w:r>
          </w:p>
        </w:tc>
        <w:tc>
          <w:tcPr>
            <w:tcW w:w="122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8950E" w14:textId="77777777" w:rsidR="00FF156E" w:rsidRPr="00FF156E" w:rsidRDefault="00FF156E" w:rsidP="00FF156E">
            <w:pPr>
              <w:spacing w:after="0" w:line="240" w:lineRule="auto"/>
              <w:ind w:firstLine="0"/>
              <w:jc w:val="right"/>
              <w:rPr>
                <w:rFonts w:cs="Calibri"/>
                <w:color w:val="FF0000"/>
                <w:sz w:val="22"/>
                <w:szCs w:val="22"/>
              </w:rPr>
            </w:pPr>
            <w:r w:rsidRPr="00FF156E">
              <w:rPr>
                <w:rFonts w:cs="Calibri"/>
                <w:color w:val="FF0000"/>
                <w:sz w:val="22"/>
                <w:szCs w:val="22"/>
              </w:rPr>
              <w:t>-1.346.477</w:t>
            </w:r>
          </w:p>
        </w:tc>
        <w:tc>
          <w:tcPr>
            <w:tcW w:w="8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AFAC0" w14:textId="77777777" w:rsidR="00FF156E" w:rsidRPr="00FF156E" w:rsidRDefault="00FF156E" w:rsidP="00FF156E">
            <w:pPr>
              <w:spacing w:after="0" w:line="240" w:lineRule="auto"/>
              <w:ind w:firstLine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FF156E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E2683A" w14:textId="77777777" w:rsidR="00FF156E" w:rsidRPr="00FF156E" w:rsidRDefault="00FF156E" w:rsidP="00FF156E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F156E">
              <w:rPr>
                <w:rFonts w:cs="Calibri"/>
                <w:color w:val="000000"/>
                <w:sz w:val="22"/>
                <w:szCs w:val="22"/>
              </w:rPr>
              <w:t>192,4</w:t>
            </w:r>
          </w:p>
        </w:tc>
      </w:tr>
    </w:tbl>
    <w:p w14:paraId="1C036E79" w14:textId="77777777" w:rsidR="00C274EF" w:rsidRPr="00110644" w:rsidRDefault="00C274EF" w:rsidP="00D30F92">
      <w:pPr>
        <w:pStyle w:val="BodyText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5240D38A" w14:textId="12EB4CC3" w:rsidR="00DD6481" w:rsidRPr="00110644" w:rsidRDefault="00C274EF" w:rsidP="003E4CB7">
      <w:pPr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 xml:space="preserve">Iz navedenih podataka razvidno je da </w:t>
      </w:r>
      <w:r w:rsidRPr="00110644">
        <w:rPr>
          <w:rFonts w:asciiTheme="minorHAnsi" w:hAnsiTheme="minorHAnsi" w:cstheme="minorHAnsi"/>
          <w:b/>
          <w:sz w:val="22"/>
          <w:szCs w:val="22"/>
        </w:rPr>
        <w:t>je po kon</w:t>
      </w:r>
      <w:r w:rsidR="001275E6" w:rsidRPr="00110644">
        <w:rPr>
          <w:rFonts w:asciiTheme="minorHAnsi" w:hAnsiTheme="minorHAnsi" w:cstheme="minorHAnsi"/>
          <w:b/>
          <w:sz w:val="22"/>
          <w:szCs w:val="22"/>
        </w:rPr>
        <w:t>a</w:t>
      </w:r>
      <w:r w:rsidR="00AB35B4" w:rsidRPr="00110644">
        <w:rPr>
          <w:rFonts w:asciiTheme="minorHAnsi" w:hAnsiTheme="minorHAnsi" w:cstheme="minorHAnsi"/>
          <w:b/>
          <w:sz w:val="22"/>
          <w:szCs w:val="22"/>
        </w:rPr>
        <w:t>čnom obračunu za 2023</w:t>
      </w:r>
      <w:r w:rsidR="00252D86" w:rsidRPr="00110644">
        <w:rPr>
          <w:rFonts w:asciiTheme="minorHAnsi" w:hAnsiTheme="minorHAnsi" w:cstheme="minorHAnsi"/>
          <w:b/>
          <w:sz w:val="22"/>
          <w:szCs w:val="22"/>
        </w:rPr>
        <w:t>. ostvaren ma</w:t>
      </w:r>
      <w:r w:rsidR="00EC5ABC" w:rsidRPr="00110644">
        <w:rPr>
          <w:rFonts w:asciiTheme="minorHAnsi" w:hAnsiTheme="minorHAnsi" w:cstheme="minorHAnsi"/>
          <w:b/>
          <w:sz w:val="22"/>
          <w:szCs w:val="22"/>
        </w:rPr>
        <w:t>nj</w:t>
      </w:r>
      <w:r w:rsidR="00495F97" w:rsidRPr="00110644">
        <w:rPr>
          <w:rFonts w:asciiTheme="minorHAnsi" w:hAnsiTheme="minorHAnsi" w:cstheme="minorHAnsi"/>
          <w:b/>
          <w:sz w:val="22"/>
          <w:szCs w:val="22"/>
        </w:rPr>
        <w:t xml:space="preserve">ak prihoda u iznosu od </w:t>
      </w:r>
      <w:r w:rsidR="009017D7" w:rsidRPr="00110644">
        <w:rPr>
          <w:rFonts w:asciiTheme="minorHAnsi" w:hAnsiTheme="minorHAnsi" w:cstheme="minorHAnsi"/>
          <w:b/>
          <w:sz w:val="22"/>
          <w:szCs w:val="22"/>
        </w:rPr>
        <w:t>1.346.477</w:t>
      </w:r>
      <w:r w:rsidR="003505DB">
        <w:rPr>
          <w:rFonts w:asciiTheme="minorHAnsi" w:hAnsiTheme="minorHAnsi" w:cstheme="minorHAnsi"/>
          <w:b/>
          <w:sz w:val="22"/>
          <w:szCs w:val="22"/>
        </w:rPr>
        <w:t>,18</w:t>
      </w:r>
      <w:r w:rsidR="009017D7" w:rsidRPr="00110644">
        <w:rPr>
          <w:rFonts w:asciiTheme="minorHAnsi" w:hAnsiTheme="minorHAnsi" w:cstheme="minorHAnsi"/>
          <w:b/>
          <w:sz w:val="22"/>
          <w:szCs w:val="22"/>
        </w:rPr>
        <w:t xml:space="preserve"> eur</w:t>
      </w:r>
      <w:r w:rsidR="009C4CF9" w:rsidRPr="00110644">
        <w:rPr>
          <w:rFonts w:asciiTheme="minorHAnsi" w:hAnsiTheme="minorHAnsi" w:cstheme="minorHAnsi"/>
          <w:b/>
          <w:sz w:val="22"/>
          <w:szCs w:val="22"/>
        </w:rPr>
        <w:t>.</w:t>
      </w:r>
      <w:r w:rsidR="003E4CB7" w:rsidRPr="001106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6E26" w:rsidRPr="00110644">
        <w:rPr>
          <w:rFonts w:asciiTheme="minorHAnsi" w:hAnsiTheme="minorHAnsi" w:cstheme="minorHAnsi"/>
          <w:sz w:val="22"/>
          <w:szCs w:val="22"/>
        </w:rPr>
        <w:t>Ostvareni manjak prihoda</w:t>
      </w:r>
      <w:r w:rsidR="00EF2CEB" w:rsidRPr="00110644">
        <w:rPr>
          <w:rFonts w:asciiTheme="minorHAnsi" w:hAnsiTheme="minorHAnsi" w:cstheme="minorHAnsi"/>
          <w:sz w:val="22"/>
          <w:szCs w:val="22"/>
        </w:rPr>
        <w:t xml:space="preserve"> posljedica je</w:t>
      </w:r>
      <w:r w:rsidR="003E4CB7" w:rsidRPr="00110644">
        <w:rPr>
          <w:rFonts w:asciiTheme="minorHAnsi" w:hAnsiTheme="minorHAnsi" w:cstheme="minorHAnsi"/>
          <w:sz w:val="22"/>
          <w:szCs w:val="22"/>
        </w:rPr>
        <w:t xml:space="preserve"> </w:t>
      </w:r>
      <w:r w:rsidR="00B6635C" w:rsidRPr="00110644">
        <w:rPr>
          <w:rFonts w:asciiTheme="minorHAnsi" w:hAnsiTheme="minorHAnsi" w:cstheme="minorHAnsi"/>
          <w:color w:val="000000" w:themeColor="text1"/>
          <w:sz w:val="22"/>
        </w:rPr>
        <w:t xml:space="preserve">velikim dijelom neravnomjernog povećanja limita od strane HZZO-a, koji </w:t>
      </w:r>
      <w:r w:rsidR="00B6635C" w:rsidRPr="00110644">
        <w:rPr>
          <w:rFonts w:asciiTheme="minorHAnsi" w:hAnsiTheme="minorHAnsi" w:cstheme="minorHAnsi"/>
          <w:b/>
          <w:bCs/>
          <w:color w:val="000000" w:themeColor="text1"/>
          <w:sz w:val="22"/>
        </w:rPr>
        <w:t>ne prati povećanje plaća i povećanje cijena troškova poslovanja</w:t>
      </w:r>
      <w:r w:rsidR="00B6635C" w:rsidRPr="00110644">
        <w:rPr>
          <w:rFonts w:asciiTheme="minorHAnsi" w:hAnsiTheme="minorHAnsi" w:cstheme="minorHAnsi"/>
          <w:color w:val="000000" w:themeColor="text1"/>
          <w:sz w:val="22"/>
        </w:rPr>
        <w:t>. Vrijednost</w:t>
      </w:r>
      <w:r w:rsidR="005401E0" w:rsidRPr="00110644">
        <w:rPr>
          <w:rFonts w:asciiTheme="minorHAnsi" w:hAnsiTheme="minorHAnsi" w:cstheme="minorHAnsi"/>
          <w:color w:val="000000" w:themeColor="text1"/>
          <w:sz w:val="22"/>
        </w:rPr>
        <w:t xml:space="preserve"> koeficijenta za plaće u 2023.</w:t>
      </w:r>
      <w:r w:rsidR="00B6635C" w:rsidRPr="00110644">
        <w:rPr>
          <w:rFonts w:asciiTheme="minorHAnsi" w:hAnsiTheme="minorHAnsi" w:cstheme="minorHAnsi"/>
          <w:color w:val="000000" w:themeColor="text1"/>
          <w:sz w:val="22"/>
        </w:rPr>
        <w:t xml:space="preserve"> godini </w:t>
      </w:r>
      <w:r w:rsidR="00710739" w:rsidRPr="00110644">
        <w:rPr>
          <w:rFonts w:asciiTheme="minorHAnsi" w:hAnsiTheme="minorHAnsi" w:cstheme="minorHAnsi"/>
          <w:color w:val="000000" w:themeColor="text1"/>
          <w:sz w:val="22"/>
        </w:rPr>
        <w:t xml:space="preserve">povećavala </w:t>
      </w:r>
      <w:r w:rsidR="005401E0" w:rsidRPr="00110644">
        <w:rPr>
          <w:rFonts w:asciiTheme="minorHAnsi" w:hAnsiTheme="minorHAnsi" w:cstheme="minorHAnsi"/>
          <w:color w:val="000000" w:themeColor="text1"/>
          <w:sz w:val="22"/>
        </w:rPr>
        <w:t xml:space="preserve">se </w:t>
      </w:r>
      <w:r w:rsidR="00710739" w:rsidRPr="00110644">
        <w:rPr>
          <w:rFonts w:asciiTheme="minorHAnsi" w:hAnsiTheme="minorHAnsi" w:cstheme="minorHAnsi"/>
          <w:color w:val="000000" w:themeColor="text1"/>
          <w:sz w:val="22"/>
        </w:rPr>
        <w:t>dva puta</w:t>
      </w:r>
      <w:r w:rsidR="003E4CB7" w:rsidRPr="00110644">
        <w:rPr>
          <w:rFonts w:asciiTheme="minorHAnsi" w:hAnsiTheme="minorHAnsi" w:cstheme="minorHAnsi"/>
          <w:color w:val="000000" w:themeColor="text1"/>
          <w:sz w:val="22"/>
        </w:rPr>
        <w:t>,</w:t>
      </w:r>
      <w:r w:rsidR="00710739" w:rsidRPr="00110644">
        <w:rPr>
          <w:rFonts w:asciiTheme="minorHAnsi" w:hAnsiTheme="minorHAnsi" w:cstheme="minorHAnsi"/>
          <w:color w:val="000000" w:themeColor="text1"/>
          <w:sz w:val="22"/>
        </w:rPr>
        <w:t xml:space="preserve"> i to</w:t>
      </w:r>
      <w:r w:rsidR="003E4CB7" w:rsidRPr="00110644">
        <w:rPr>
          <w:rFonts w:asciiTheme="minorHAnsi" w:hAnsiTheme="minorHAnsi" w:cstheme="minorHAnsi"/>
          <w:color w:val="000000" w:themeColor="text1"/>
          <w:sz w:val="22"/>
        </w:rPr>
        <w:t>:</w:t>
      </w:r>
      <w:r w:rsidR="002F5DD4" w:rsidRPr="00110644">
        <w:rPr>
          <w:rFonts w:asciiTheme="minorHAnsi" w:hAnsiTheme="minorHAnsi" w:cstheme="minorHAnsi"/>
          <w:color w:val="000000" w:themeColor="text1"/>
          <w:sz w:val="22"/>
        </w:rPr>
        <w:t xml:space="preserve"> 2</w:t>
      </w:r>
      <w:r w:rsidR="00B6635C" w:rsidRPr="00110644">
        <w:rPr>
          <w:rFonts w:asciiTheme="minorHAnsi" w:hAnsiTheme="minorHAnsi" w:cstheme="minorHAnsi"/>
          <w:color w:val="000000" w:themeColor="text1"/>
          <w:sz w:val="22"/>
        </w:rPr>
        <w:t>% za</w:t>
      </w:r>
      <w:r w:rsidR="00710739" w:rsidRPr="00110644">
        <w:rPr>
          <w:rFonts w:asciiTheme="minorHAnsi" w:hAnsiTheme="minorHAnsi" w:cstheme="minorHAnsi"/>
          <w:color w:val="000000" w:themeColor="text1"/>
          <w:sz w:val="22"/>
        </w:rPr>
        <w:t xml:space="preserve"> plaće od</w:t>
      </w:r>
      <w:r w:rsidR="00B6635C" w:rsidRPr="001106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2F5DD4" w:rsidRPr="00110644">
        <w:rPr>
          <w:rFonts w:asciiTheme="minorHAnsi" w:hAnsiTheme="minorHAnsi" w:cstheme="minorHAnsi"/>
          <w:color w:val="000000" w:themeColor="text1"/>
          <w:sz w:val="22"/>
        </w:rPr>
        <w:t>travnja</w:t>
      </w:r>
      <w:r w:rsidR="00710739" w:rsidRPr="00110644">
        <w:rPr>
          <w:rFonts w:asciiTheme="minorHAnsi" w:hAnsiTheme="minorHAnsi" w:cstheme="minorHAnsi"/>
          <w:color w:val="000000" w:themeColor="text1"/>
          <w:sz w:val="22"/>
        </w:rPr>
        <w:t xml:space="preserve"> i </w:t>
      </w:r>
      <w:r w:rsidR="002F5DD4" w:rsidRPr="00110644">
        <w:rPr>
          <w:rFonts w:asciiTheme="minorHAnsi" w:hAnsiTheme="minorHAnsi" w:cstheme="minorHAnsi"/>
          <w:color w:val="000000" w:themeColor="text1"/>
          <w:sz w:val="22"/>
        </w:rPr>
        <w:t>još 5</w:t>
      </w:r>
      <w:r w:rsidR="00B6635C" w:rsidRPr="00110644">
        <w:rPr>
          <w:rFonts w:asciiTheme="minorHAnsi" w:hAnsiTheme="minorHAnsi" w:cstheme="minorHAnsi"/>
          <w:color w:val="000000" w:themeColor="text1"/>
          <w:sz w:val="22"/>
        </w:rPr>
        <w:t>%</w:t>
      </w:r>
      <w:r w:rsidR="00710739" w:rsidRPr="00110644">
        <w:rPr>
          <w:rFonts w:asciiTheme="minorHAnsi" w:hAnsiTheme="minorHAnsi" w:cstheme="minorHAnsi"/>
          <w:color w:val="000000" w:themeColor="text1"/>
          <w:sz w:val="22"/>
        </w:rPr>
        <w:t xml:space="preserve"> za </w:t>
      </w:r>
      <w:r w:rsidR="00710739" w:rsidRPr="00110644">
        <w:rPr>
          <w:rFonts w:asciiTheme="minorHAnsi" w:hAnsiTheme="minorHAnsi" w:cstheme="minorHAnsi"/>
          <w:color w:val="000000" w:themeColor="text1"/>
          <w:sz w:val="22"/>
        </w:rPr>
        <w:lastRenderedPageBreak/>
        <w:t>plaće od</w:t>
      </w:r>
      <w:r w:rsidR="00B6635C" w:rsidRPr="00110644">
        <w:rPr>
          <w:rFonts w:asciiTheme="minorHAnsi" w:hAnsiTheme="minorHAnsi" w:cstheme="minorHAnsi"/>
          <w:color w:val="000000" w:themeColor="text1"/>
          <w:sz w:val="22"/>
        </w:rPr>
        <w:t xml:space="preserve"> listopad</w:t>
      </w:r>
      <w:r w:rsidR="002F5DD4" w:rsidRPr="00110644">
        <w:rPr>
          <w:rFonts w:asciiTheme="minorHAnsi" w:hAnsiTheme="minorHAnsi" w:cstheme="minorHAnsi"/>
          <w:color w:val="000000" w:themeColor="text1"/>
          <w:sz w:val="22"/>
        </w:rPr>
        <w:t xml:space="preserve">a pa </w:t>
      </w:r>
      <w:r w:rsidR="00B6635C" w:rsidRPr="00110644">
        <w:rPr>
          <w:rFonts w:asciiTheme="minorHAnsi" w:hAnsiTheme="minorHAnsi" w:cstheme="minorHAnsi"/>
          <w:color w:val="000000" w:themeColor="text1"/>
          <w:sz w:val="22"/>
        </w:rPr>
        <w:t xml:space="preserve">stoga limit nije dovoljan za redovno poslovanje u otežanim uvjetima pogođenim inflacijom. </w:t>
      </w:r>
      <w:r w:rsidR="008E7067" w:rsidRPr="00110644">
        <w:rPr>
          <w:rFonts w:asciiTheme="minorHAnsi" w:hAnsiTheme="minorHAnsi" w:cstheme="minorHAnsi"/>
          <w:sz w:val="22"/>
        </w:rPr>
        <w:t>Dodacima</w:t>
      </w:r>
      <w:r w:rsidR="00DD6481" w:rsidRPr="00110644">
        <w:rPr>
          <w:rFonts w:asciiTheme="minorHAnsi" w:hAnsiTheme="minorHAnsi" w:cstheme="minorHAnsi"/>
          <w:sz w:val="22"/>
        </w:rPr>
        <w:t xml:space="preserve"> Temeljnom kolektivnom ugovoru</w:t>
      </w:r>
      <w:r w:rsidR="00074373" w:rsidRPr="00110644">
        <w:rPr>
          <w:rFonts w:asciiTheme="minorHAnsi" w:hAnsiTheme="minorHAnsi" w:cstheme="minorHAnsi"/>
          <w:sz w:val="22"/>
        </w:rPr>
        <w:t xml:space="preserve"> </w:t>
      </w:r>
      <w:r w:rsidR="00DD6481" w:rsidRPr="00110644">
        <w:rPr>
          <w:rFonts w:asciiTheme="minorHAnsi" w:hAnsiTheme="minorHAnsi" w:cstheme="minorHAnsi"/>
          <w:sz w:val="22"/>
        </w:rPr>
        <w:t>poveć</w:t>
      </w:r>
      <w:r w:rsidR="00710739" w:rsidRPr="00110644">
        <w:rPr>
          <w:rFonts w:asciiTheme="minorHAnsi" w:hAnsiTheme="minorHAnsi" w:cstheme="minorHAnsi"/>
          <w:sz w:val="22"/>
        </w:rPr>
        <w:t>ana</w:t>
      </w:r>
      <w:r w:rsidR="008E7067" w:rsidRPr="00110644">
        <w:rPr>
          <w:rFonts w:asciiTheme="minorHAnsi" w:hAnsiTheme="minorHAnsi" w:cstheme="minorHAnsi"/>
          <w:sz w:val="22"/>
        </w:rPr>
        <w:t xml:space="preserve"> je nagrada za godišnji odmor (regres) i </w:t>
      </w:r>
      <w:r w:rsidR="00DD6481" w:rsidRPr="00110644">
        <w:rPr>
          <w:rFonts w:asciiTheme="minorHAnsi" w:hAnsiTheme="minorHAnsi" w:cstheme="minorHAnsi"/>
          <w:sz w:val="22"/>
        </w:rPr>
        <w:t>nagrada za božićne blagdane</w:t>
      </w:r>
      <w:r w:rsidR="008E7067" w:rsidRPr="00110644">
        <w:rPr>
          <w:rFonts w:asciiTheme="minorHAnsi" w:hAnsiTheme="minorHAnsi" w:cstheme="minorHAnsi"/>
          <w:sz w:val="22"/>
        </w:rPr>
        <w:t xml:space="preserve"> (božićnica)</w:t>
      </w:r>
      <w:r w:rsidR="00DD6481" w:rsidRPr="00110644">
        <w:rPr>
          <w:rFonts w:asciiTheme="minorHAnsi" w:hAnsiTheme="minorHAnsi" w:cstheme="minorHAnsi"/>
          <w:sz w:val="22"/>
        </w:rPr>
        <w:t xml:space="preserve">, što je rezultiralo većim troškovima koji nisu bili planirani. Isto tako </w:t>
      </w:r>
      <w:r w:rsidR="00797774" w:rsidRPr="00110644">
        <w:rPr>
          <w:rFonts w:asciiTheme="minorHAnsi" w:hAnsiTheme="minorHAnsi" w:cstheme="minorHAnsi"/>
          <w:b/>
          <w:bCs/>
          <w:sz w:val="22"/>
        </w:rPr>
        <w:t>fluktuacija</w:t>
      </w:r>
      <w:r w:rsidR="00DD6481" w:rsidRPr="00110644">
        <w:rPr>
          <w:rFonts w:asciiTheme="minorHAnsi" w:hAnsiTheme="minorHAnsi" w:cstheme="minorHAnsi"/>
          <w:sz w:val="22"/>
        </w:rPr>
        <w:t xml:space="preserve"> radnika, </w:t>
      </w:r>
      <w:r w:rsidR="00DD6481" w:rsidRPr="00110644">
        <w:rPr>
          <w:rFonts w:asciiTheme="minorHAnsi" w:hAnsiTheme="minorHAnsi" w:cstheme="minorHAnsi"/>
          <w:b/>
          <w:bCs/>
          <w:sz w:val="22"/>
        </w:rPr>
        <w:t>bolovanja</w:t>
      </w:r>
      <w:r w:rsidR="00DD6481" w:rsidRPr="00110644">
        <w:rPr>
          <w:rFonts w:asciiTheme="minorHAnsi" w:hAnsiTheme="minorHAnsi" w:cstheme="minorHAnsi"/>
          <w:sz w:val="22"/>
        </w:rPr>
        <w:t xml:space="preserve"> i poteškoće kod </w:t>
      </w:r>
      <w:r w:rsidR="00DD6481" w:rsidRPr="00110644">
        <w:rPr>
          <w:rFonts w:asciiTheme="minorHAnsi" w:hAnsiTheme="minorHAnsi" w:cstheme="minorHAnsi"/>
          <w:b/>
          <w:bCs/>
          <w:sz w:val="22"/>
        </w:rPr>
        <w:t>zapošljavanja</w:t>
      </w:r>
      <w:r w:rsidR="00DD6481" w:rsidRPr="00110644">
        <w:rPr>
          <w:rFonts w:asciiTheme="minorHAnsi" w:hAnsiTheme="minorHAnsi" w:cstheme="minorHAnsi"/>
          <w:sz w:val="22"/>
        </w:rPr>
        <w:t xml:space="preserve"> novih radnika, ima</w:t>
      </w:r>
      <w:r w:rsidR="00797774" w:rsidRPr="00110644">
        <w:rPr>
          <w:rFonts w:asciiTheme="minorHAnsi" w:hAnsiTheme="minorHAnsi" w:cstheme="minorHAnsi"/>
          <w:sz w:val="22"/>
        </w:rPr>
        <w:t>ju</w:t>
      </w:r>
      <w:r w:rsidR="00DD6481" w:rsidRPr="00110644">
        <w:rPr>
          <w:rFonts w:asciiTheme="minorHAnsi" w:hAnsiTheme="minorHAnsi" w:cstheme="minorHAnsi"/>
          <w:sz w:val="22"/>
        </w:rPr>
        <w:t xml:space="preserve"> za posljedicu veće rashode za plaću (prekovremeni</w:t>
      </w:r>
      <w:r w:rsidR="003E4CB7" w:rsidRPr="00110644">
        <w:rPr>
          <w:rFonts w:asciiTheme="minorHAnsi" w:hAnsiTheme="minorHAnsi" w:cstheme="minorHAnsi"/>
          <w:sz w:val="22"/>
        </w:rPr>
        <w:t xml:space="preserve"> rad</w:t>
      </w:r>
      <w:r w:rsidR="00DD6481" w:rsidRPr="00110644">
        <w:rPr>
          <w:rFonts w:asciiTheme="minorHAnsi" w:hAnsiTheme="minorHAnsi" w:cstheme="minorHAnsi"/>
          <w:sz w:val="22"/>
        </w:rPr>
        <w:t xml:space="preserve">). </w:t>
      </w:r>
      <w:r w:rsidR="00727AFC" w:rsidRPr="00110644">
        <w:rPr>
          <w:rFonts w:asciiTheme="minorHAnsi" w:hAnsiTheme="minorHAnsi" w:cstheme="minorHAnsi"/>
          <w:sz w:val="22"/>
        </w:rPr>
        <w:t>Neizvjesnost</w:t>
      </w:r>
      <w:r w:rsidR="00DD6481" w:rsidRPr="00110644">
        <w:rPr>
          <w:rFonts w:asciiTheme="minorHAnsi" w:hAnsiTheme="minorHAnsi" w:cstheme="minorHAnsi"/>
          <w:sz w:val="22"/>
        </w:rPr>
        <w:t xml:space="preserve"> </w:t>
      </w:r>
      <w:r w:rsidR="00DD6481" w:rsidRPr="00110644">
        <w:rPr>
          <w:rFonts w:asciiTheme="minorHAnsi" w:hAnsiTheme="minorHAnsi" w:cstheme="minorHAnsi"/>
          <w:b/>
          <w:bCs/>
          <w:sz w:val="22"/>
        </w:rPr>
        <w:t>cijena energenata</w:t>
      </w:r>
      <w:r w:rsidR="00DD6481" w:rsidRPr="00110644">
        <w:rPr>
          <w:rFonts w:asciiTheme="minorHAnsi" w:hAnsiTheme="minorHAnsi" w:cstheme="minorHAnsi"/>
          <w:sz w:val="22"/>
        </w:rPr>
        <w:t xml:space="preserve"> (</w:t>
      </w:r>
      <w:r w:rsidR="00727AFC" w:rsidRPr="00110644">
        <w:rPr>
          <w:rFonts w:asciiTheme="minorHAnsi" w:hAnsiTheme="minorHAnsi" w:cstheme="minorHAnsi"/>
          <w:sz w:val="22"/>
        </w:rPr>
        <w:t>nastavak provedbe 5. paketa mjera Vlade Republike Hrvatske iz rujna 2023. do ožujka 2024.</w:t>
      </w:r>
      <w:r w:rsidR="00DD6481" w:rsidRPr="00110644">
        <w:rPr>
          <w:rFonts w:asciiTheme="minorHAnsi" w:hAnsiTheme="minorHAnsi" w:cstheme="minorHAnsi"/>
          <w:sz w:val="22"/>
        </w:rPr>
        <w:t xml:space="preserve">), </w:t>
      </w:r>
      <w:r w:rsidR="008D575B" w:rsidRPr="008D575B">
        <w:rPr>
          <w:rFonts w:asciiTheme="minorHAnsi" w:hAnsiTheme="minorHAnsi" w:cstheme="minorHAnsi"/>
          <w:b/>
          <w:sz w:val="22"/>
        </w:rPr>
        <w:t xml:space="preserve">sve češći </w:t>
      </w:r>
      <w:r w:rsidR="003505DB" w:rsidRPr="008D575B">
        <w:rPr>
          <w:rFonts w:asciiTheme="minorHAnsi" w:hAnsiTheme="minorHAnsi" w:cstheme="minorHAnsi"/>
          <w:b/>
          <w:sz w:val="22"/>
        </w:rPr>
        <w:t>popravci infrastrukture</w:t>
      </w:r>
      <w:r w:rsidR="003505DB">
        <w:rPr>
          <w:rFonts w:asciiTheme="minorHAnsi" w:hAnsiTheme="minorHAnsi" w:cstheme="minorHAnsi"/>
          <w:sz w:val="22"/>
        </w:rPr>
        <w:t xml:space="preserve"> poslovne zgrade središnjice u Heinzelovoj ulici </w:t>
      </w:r>
      <w:r w:rsidR="008D575B">
        <w:rPr>
          <w:rFonts w:asciiTheme="minorHAnsi" w:hAnsiTheme="minorHAnsi" w:cstheme="minorHAnsi"/>
          <w:sz w:val="22"/>
        </w:rPr>
        <w:t xml:space="preserve">(grijanje, hlađenje, odvodnja, nadzor, dizala, autopraonica, automehaničarska radionica i sl.) </w:t>
      </w:r>
      <w:r w:rsidR="003505DB">
        <w:rPr>
          <w:rFonts w:asciiTheme="minorHAnsi" w:hAnsiTheme="minorHAnsi" w:cstheme="minorHAnsi"/>
          <w:sz w:val="22"/>
        </w:rPr>
        <w:t xml:space="preserve">koje se nije planski zanavljalo pri isteku korisnog vijeka upotrebe već se </w:t>
      </w:r>
      <w:r w:rsidR="008D575B">
        <w:rPr>
          <w:rFonts w:asciiTheme="minorHAnsi" w:hAnsiTheme="minorHAnsi" w:cstheme="minorHAnsi"/>
          <w:sz w:val="22"/>
        </w:rPr>
        <w:t>manjim zahvatima nastojalo produljiti</w:t>
      </w:r>
      <w:r w:rsidR="003505DB">
        <w:rPr>
          <w:rFonts w:asciiTheme="minorHAnsi" w:hAnsiTheme="minorHAnsi" w:cstheme="minorHAnsi"/>
          <w:sz w:val="22"/>
        </w:rPr>
        <w:t xml:space="preserve"> </w:t>
      </w:r>
      <w:r w:rsidR="008D575B">
        <w:rPr>
          <w:rFonts w:asciiTheme="minorHAnsi" w:hAnsiTheme="minorHAnsi" w:cstheme="minorHAnsi"/>
          <w:sz w:val="22"/>
        </w:rPr>
        <w:t xml:space="preserve">njihovo korištenje, potom samo </w:t>
      </w:r>
      <w:r w:rsidR="00DD6481" w:rsidRPr="00110644">
        <w:rPr>
          <w:rFonts w:asciiTheme="minorHAnsi" w:hAnsiTheme="minorHAnsi" w:cstheme="minorHAnsi"/>
          <w:sz w:val="22"/>
        </w:rPr>
        <w:t xml:space="preserve">povećanje </w:t>
      </w:r>
      <w:r w:rsidR="004629DB" w:rsidRPr="00110644">
        <w:rPr>
          <w:rFonts w:asciiTheme="minorHAnsi" w:hAnsiTheme="minorHAnsi" w:cstheme="minorHAnsi"/>
          <w:sz w:val="22"/>
        </w:rPr>
        <w:t xml:space="preserve">troškova </w:t>
      </w:r>
      <w:r w:rsidR="00DD6481" w:rsidRPr="00110644">
        <w:rPr>
          <w:rFonts w:asciiTheme="minorHAnsi" w:hAnsiTheme="minorHAnsi" w:cstheme="minorHAnsi"/>
          <w:sz w:val="22"/>
        </w:rPr>
        <w:t xml:space="preserve">usluga tekućeg i </w:t>
      </w:r>
      <w:r w:rsidR="00DD6481" w:rsidRPr="00110644">
        <w:rPr>
          <w:rFonts w:asciiTheme="minorHAnsi" w:hAnsiTheme="minorHAnsi" w:cstheme="minorHAnsi"/>
          <w:b/>
          <w:bCs/>
          <w:sz w:val="22"/>
        </w:rPr>
        <w:t>investicijskog održavanja</w:t>
      </w:r>
      <w:r w:rsidR="00DD6481" w:rsidRPr="00110644">
        <w:rPr>
          <w:rFonts w:asciiTheme="minorHAnsi" w:hAnsiTheme="minorHAnsi" w:cstheme="minorHAnsi"/>
          <w:sz w:val="22"/>
        </w:rPr>
        <w:t xml:space="preserve"> objekata, opreme i vozila</w:t>
      </w:r>
      <w:r w:rsidR="008D575B">
        <w:rPr>
          <w:rFonts w:asciiTheme="minorHAnsi" w:hAnsiTheme="minorHAnsi" w:cstheme="minorHAnsi"/>
          <w:sz w:val="22"/>
        </w:rPr>
        <w:t xml:space="preserve">, sve se to </w:t>
      </w:r>
      <w:r w:rsidR="00DD6481" w:rsidRPr="00110644">
        <w:rPr>
          <w:rFonts w:asciiTheme="minorHAnsi" w:hAnsiTheme="minorHAnsi" w:cstheme="minorHAnsi"/>
          <w:sz w:val="22"/>
        </w:rPr>
        <w:t xml:space="preserve">odrazilo na negativno poslovanje. </w:t>
      </w:r>
      <w:r w:rsidR="008572FC">
        <w:rPr>
          <w:rFonts w:asciiTheme="minorHAnsi" w:hAnsiTheme="minorHAnsi" w:cstheme="minorHAnsi"/>
          <w:sz w:val="22"/>
        </w:rPr>
        <w:t xml:space="preserve">Zbog rasta mjesečnog troška </w:t>
      </w:r>
      <w:r w:rsidR="008572FC" w:rsidRPr="008572FC">
        <w:rPr>
          <w:rFonts w:asciiTheme="minorHAnsi" w:hAnsiTheme="minorHAnsi" w:cstheme="minorHAnsi"/>
          <w:b/>
          <w:sz w:val="22"/>
        </w:rPr>
        <w:t>osiguranja</w:t>
      </w:r>
      <w:r w:rsidR="008572FC">
        <w:rPr>
          <w:rFonts w:asciiTheme="minorHAnsi" w:hAnsiTheme="minorHAnsi" w:cstheme="minorHAnsi"/>
          <w:sz w:val="22"/>
        </w:rPr>
        <w:t xml:space="preserve"> bilo je potrebno revidirati i okvirni sporazum sa osiguravateljem. </w:t>
      </w:r>
      <w:r w:rsidR="00DD6481" w:rsidRPr="00110644">
        <w:rPr>
          <w:rFonts w:asciiTheme="minorHAnsi" w:hAnsiTheme="minorHAnsi" w:cstheme="minorHAnsi"/>
          <w:sz w:val="22"/>
        </w:rPr>
        <w:t xml:space="preserve">I dalje rastu troškovi pristojbi, naknada i </w:t>
      </w:r>
      <w:r w:rsidR="00DD6481" w:rsidRPr="00110644">
        <w:rPr>
          <w:rFonts w:asciiTheme="minorHAnsi" w:hAnsiTheme="minorHAnsi" w:cstheme="minorHAnsi"/>
          <w:b/>
          <w:bCs/>
          <w:sz w:val="22"/>
        </w:rPr>
        <w:t>sudskih postupaka</w:t>
      </w:r>
      <w:r w:rsidR="00DD6481" w:rsidRPr="00110644">
        <w:rPr>
          <w:rFonts w:asciiTheme="minorHAnsi" w:hAnsiTheme="minorHAnsi" w:cstheme="minorHAnsi"/>
          <w:sz w:val="22"/>
        </w:rPr>
        <w:t xml:space="preserve"> vezano za isplate po pravomoćnim presudama po tužbama za </w:t>
      </w:r>
      <w:r w:rsidR="00727AFC" w:rsidRPr="00110644">
        <w:rPr>
          <w:rFonts w:asciiTheme="minorHAnsi" w:hAnsiTheme="minorHAnsi" w:cstheme="minorHAnsi"/>
          <w:sz w:val="22"/>
        </w:rPr>
        <w:t>prekovremene sate i za osnovicu (</w:t>
      </w:r>
      <w:r w:rsidR="005E46F2" w:rsidRPr="00110644">
        <w:rPr>
          <w:rFonts w:asciiTheme="minorHAnsi" w:hAnsiTheme="minorHAnsi" w:cstheme="minorHAnsi"/>
          <w:sz w:val="22"/>
        </w:rPr>
        <w:t>navedeni</w:t>
      </w:r>
      <w:r w:rsidR="00727AFC" w:rsidRPr="00110644">
        <w:rPr>
          <w:rFonts w:asciiTheme="minorHAnsi" w:hAnsiTheme="minorHAnsi" w:cstheme="minorHAnsi"/>
          <w:sz w:val="22"/>
        </w:rPr>
        <w:t xml:space="preserve"> rashod</w:t>
      </w:r>
      <w:r w:rsidR="005E46F2" w:rsidRPr="00110644">
        <w:rPr>
          <w:rFonts w:asciiTheme="minorHAnsi" w:hAnsiTheme="minorHAnsi" w:cstheme="minorHAnsi"/>
          <w:sz w:val="22"/>
        </w:rPr>
        <w:t>i</w:t>
      </w:r>
      <w:r w:rsidR="00727AFC" w:rsidRPr="00110644">
        <w:rPr>
          <w:rFonts w:asciiTheme="minorHAnsi" w:hAnsiTheme="minorHAnsi" w:cstheme="minorHAnsi"/>
          <w:sz w:val="22"/>
        </w:rPr>
        <w:t xml:space="preserve"> </w:t>
      </w:r>
      <w:r w:rsidR="005E46F2" w:rsidRPr="00110644">
        <w:rPr>
          <w:rFonts w:asciiTheme="minorHAnsi" w:hAnsiTheme="minorHAnsi" w:cstheme="minorHAnsi"/>
          <w:sz w:val="22"/>
        </w:rPr>
        <w:t>rastu za</w:t>
      </w:r>
      <w:r w:rsidR="00727AFC" w:rsidRPr="00110644">
        <w:rPr>
          <w:rFonts w:asciiTheme="minorHAnsi" w:hAnsiTheme="minorHAnsi" w:cstheme="minorHAnsi"/>
          <w:sz w:val="22"/>
        </w:rPr>
        <w:t xml:space="preserve"> 26% u 2023. u odnosu na 2022.)</w:t>
      </w:r>
      <w:r w:rsidR="008D575B">
        <w:rPr>
          <w:rFonts w:asciiTheme="minorHAnsi" w:hAnsiTheme="minorHAnsi" w:cstheme="minorHAnsi"/>
          <w:sz w:val="22"/>
        </w:rPr>
        <w:t>.</w:t>
      </w:r>
    </w:p>
    <w:p w14:paraId="4EDD2F34" w14:textId="77777777" w:rsidR="00DA59C3" w:rsidRPr="00110644" w:rsidRDefault="00D776D3" w:rsidP="003E4CB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>S</w:t>
      </w:r>
      <w:r w:rsidR="00C274EF" w:rsidRPr="00110644">
        <w:rPr>
          <w:rFonts w:asciiTheme="minorHAnsi" w:hAnsiTheme="minorHAnsi" w:cstheme="minorHAnsi"/>
          <w:sz w:val="22"/>
          <w:szCs w:val="22"/>
        </w:rPr>
        <w:t xml:space="preserve">lijede detaljniji podaci o ostvarenim prihodima i rashodima, odnosno detaljnije obrazloženje </w:t>
      </w:r>
      <w:r w:rsidR="00841B09" w:rsidRPr="00110644">
        <w:rPr>
          <w:rFonts w:asciiTheme="minorHAnsi" w:hAnsiTheme="minorHAnsi" w:cstheme="minorHAnsi"/>
          <w:sz w:val="22"/>
          <w:szCs w:val="22"/>
        </w:rPr>
        <w:t>razloga</w:t>
      </w:r>
      <w:r w:rsidR="00C274EF" w:rsidRPr="00110644">
        <w:rPr>
          <w:rFonts w:asciiTheme="minorHAnsi" w:hAnsiTheme="minorHAnsi" w:cstheme="minorHAnsi"/>
          <w:sz w:val="22"/>
          <w:szCs w:val="22"/>
        </w:rPr>
        <w:t xml:space="preserve"> poslovanja s naveden</w:t>
      </w:r>
      <w:r w:rsidR="003A19C4" w:rsidRPr="00110644">
        <w:rPr>
          <w:rFonts w:asciiTheme="minorHAnsi" w:hAnsiTheme="minorHAnsi" w:cstheme="minorHAnsi"/>
          <w:sz w:val="22"/>
          <w:szCs w:val="22"/>
        </w:rPr>
        <w:t>im manjkom</w:t>
      </w:r>
      <w:r w:rsidR="00C274EF" w:rsidRPr="00110644">
        <w:rPr>
          <w:rFonts w:asciiTheme="minorHAnsi" w:hAnsiTheme="minorHAnsi" w:cstheme="minorHAnsi"/>
          <w:sz w:val="22"/>
          <w:szCs w:val="22"/>
        </w:rPr>
        <w:t xml:space="preserve"> prihoda.</w:t>
      </w:r>
      <w:bookmarkStart w:id="2" w:name="_Toc473481484"/>
    </w:p>
    <w:p w14:paraId="0C5AE372" w14:textId="3D727276" w:rsidR="00C274EF" w:rsidRPr="00110644" w:rsidRDefault="00C274EF" w:rsidP="00C274EF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>Prihodi</w:t>
      </w:r>
      <w:bookmarkEnd w:id="2"/>
      <w:r w:rsidRPr="001106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D45612" w14:textId="1DCC5E51" w:rsidR="00774F4E" w:rsidRPr="00110644" w:rsidRDefault="00774F4E" w:rsidP="00774F4E">
      <w:pPr>
        <w:pStyle w:val="NoSpacing"/>
        <w:jc w:val="left"/>
        <w:rPr>
          <w:rFonts w:asciiTheme="minorHAnsi" w:hAnsiTheme="minorHAnsi" w:cstheme="minorHAnsi"/>
          <w:i/>
          <w:sz w:val="20"/>
          <w:szCs w:val="20"/>
        </w:rPr>
      </w:pPr>
      <w:bookmarkStart w:id="3" w:name="_Toc472786074"/>
      <w:r w:rsidRPr="00110644">
        <w:rPr>
          <w:rFonts w:asciiTheme="minorHAnsi" w:hAnsiTheme="minorHAnsi" w:cstheme="minorHAnsi"/>
          <w:i/>
          <w:sz w:val="20"/>
          <w:szCs w:val="20"/>
        </w:rPr>
        <w:t xml:space="preserve">Tablica </w:t>
      </w:r>
      <w:r w:rsidRPr="00110644">
        <w:rPr>
          <w:rFonts w:asciiTheme="minorHAnsi" w:hAnsiTheme="minorHAnsi" w:cstheme="minorHAnsi"/>
          <w:i/>
          <w:sz w:val="20"/>
          <w:szCs w:val="20"/>
        </w:rPr>
        <w:fldChar w:fldCharType="begin"/>
      </w:r>
      <w:r w:rsidRPr="00110644">
        <w:rPr>
          <w:rFonts w:asciiTheme="minorHAnsi" w:hAnsiTheme="minorHAnsi" w:cstheme="minorHAnsi"/>
          <w:i/>
          <w:sz w:val="20"/>
          <w:szCs w:val="20"/>
        </w:rPr>
        <w:instrText xml:space="preserve"> SEQ Tablica \* ARABIC </w:instrText>
      </w:r>
      <w:r w:rsidRPr="00110644">
        <w:rPr>
          <w:rFonts w:asciiTheme="minorHAnsi" w:hAnsiTheme="minorHAnsi" w:cstheme="minorHAnsi"/>
          <w:i/>
          <w:sz w:val="20"/>
          <w:szCs w:val="20"/>
        </w:rPr>
        <w:fldChar w:fldCharType="separate"/>
      </w:r>
      <w:r w:rsidR="00261536">
        <w:rPr>
          <w:rFonts w:asciiTheme="minorHAnsi" w:hAnsiTheme="minorHAnsi" w:cstheme="minorHAnsi"/>
          <w:i/>
          <w:noProof/>
          <w:sz w:val="20"/>
          <w:szCs w:val="20"/>
        </w:rPr>
        <w:t>2</w:t>
      </w:r>
      <w:r w:rsidRPr="00110644">
        <w:rPr>
          <w:rFonts w:asciiTheme="minorHAnsi" w:hAnsiTheme="minorHAnsi" w:cstheme="minorHAnsi"/>
          <w:i/>
          <w:sz w:val="20"/>
          <w:szCs w:val="20"/>
        </w:rPr>
        <w:fldChar w:fldCharType="end"/>
      </w:r>
      <w:r w:rsidRPr="00110644">
        <w:rPr>
          <w:rFonts w:asciiTheme="minorHAnsi" w:hAnsiTheme="minorHAnsi" w:cstheme="minorHAnsi"/>
          <w:i/>
          <w:sz w:val="20"/>
          <w:szCs w:val="20"/>
        </w:rPr>
        <w:t>: Podaci o prihodima</w:t>
      </w:r>
      <w:bookmarkEnd w:id="3"/>
      <w:r w:rsidR="006F5555">
        <w:rPr>
          <w:rFonts w:asciiTheme="minorHAnsi" w:hAnsiTheme="minorHAnsi" w:cstheme="minorHAnsi"/>
          <w:i/>
          <w:sz w:val="20"/>
          <w:szCs w:val="20"/>
        </w:rPr>
        <w:t xml:space="preserve"> i primicima (u EUR)</w:t>
      </w:r>
    </w:p>
    <w:p w14:paraId="0DF6B939" w14:textId="3FCA3205" w:rsidR="00774F4E" w:rsidRPr="00110644" w:rsidRDefault="00DD10A5" w:rsidP="00774F4E">
      <w:pPr>
        <w:spacing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DD10A5">
        <w:rPr>
          <w:noProof/>
        </w:rPr>
        <w:drawing>
          <wp:inline distT="0" distB="0" distL="0" distR="0" wp14:anchorId="7A31E410" wp14:editId="598480E2">
            <wp:extent cx="6211570" cy="3021358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302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92EF4" w14:textId="77777777" w:rsidR="008B6C77" w:rsidRDefault="00C274EF" w:rsidP="00774F4E">
      <w:pPr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b/>
          <w:sz w:val="22"/>
          <w:szCs w:val="22"/>
        </w:rPr>
        <w:t>Plan prihoda</w:t>
      </w:r>
      <w:r w:rsidR="006F5555">
        <w:rPr>
          <w:rFonts w:asciiTheme="minorHAnsi" w:hAnsiTheme="minorHAnsi" w:cstheme="minorHAnsi"/>
          <w:b/>
          <w:sz w:val="22"/>
          <w:szCs w:val="22"/>
        </w:rPr>
        <w:t xml:space="preserve"> i primitaka</w:t>
      </w:r>
      <w:r w:rsidRPr="001106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25090" w:rsidRPr="00110644">
        <w:rPr>
          <w:rFonts w:asciiTheme="minorHAnsi" w:hAnsiTheme="minorHAnsi" w:cstheme="minorHAnsi"/>
          <w:sz w:val="22"/>
          <w:szCs w:val="22"/>
        </w:rPr>
        <w:t>za 2</w:t>
      </w:r>
      <w:r w:rsidR="00A13D0F" w:rsidRPr="00110644">
        <w:rPr>
          <w:rFonts w:asciiTheme="minorHAnsi" w:hAnsiTheme="minorHAnsi" w:cstheme="minorHAnsi"/>
          <w:sz w:val="22"/>
          <w:szCs w:val="22"/>
        </w:rPr>
        <w:t>023</w:t>
      </w:r>
      <w:r w:rsidR="00175C0C" w:rsidRPr="00110644">
        <w:rPr>
          <w:rFonts w:asciiTheme="minorHAnsi" w:hAnsiTheme="minorHAnsi" w:cstheme="minorHAnsi"/>
          <w:sz w:val="22"/>
          <w:szCs w:val="22"/>
        </w:rPr>
        <w:t xml:space="preserve">. </w:t>
      </w:r>
      <w:r w:rsidRPr="00110644">
        <w:rPr>
          <w:rFonts w:asciiTheme="minorHAnsi" w:hAnsiTheme="minorHAnsi" w:cstheme="minorHAnsi"/>
          <w:sz w:val="22"/>
          <w:szCs w:val="22"/>
        </w:rPr>
        <w:t>je ostva</w:t>
      </w:r>
      <w:r w:rsidR="000B4D14" w:rsidRPr="00110644">
        <w:rPr>
          <w:rFonts w:asciiTheme="minorHAnsi" w:hAnsiTheme="minorHAnsi" w:cstheme="minorHAnsi"/>
          <w:sz w:val="22"/>
          <w:szCs w:val="22"/>
        </w:rPr>
        <w:t xml:space="preserve">ren u neznatno </w:t>
      </w:r>
      <w:r w:rsidR="008E31B1" w:rsidRPr="00110644">
        <w:rPr>
          <w:rFonts w:asciiTheme="minorHAnsi" w:hAnsiTheme="minorHAnsi" w:cstheme="minorHAnsi"/>
          <w:sz w:val="22"/>
          <w:szCs w:val="22"/>
        </w:rPr>
        <w:t>većem</w:t>
      </w:r>
      <w:r w:rsidR="000B4D14" w:rsidRPr="00110644">
        <w:rPr>
          <w:rFonts w:asciiTheme="minorHAnsi" w:hAnsiTheme="minorHAnsi" w:cstheme="minorHAnsi"/>
          <w:sz w:val="22"/>
          <w:szCs w:val="22"/>
        </w:rPr>
        <w:t xml:space="preserve"> postotku (</w:t>
      </w:r>
      <w:r w:rsidR="008E31B1" w:rsidRPr="00110644">
        <w:rPr>
          <w:rFonts w:asciiTheme="minorHAnsi" w:hAnsiTheme="minorHAnsi" w:cstheme="minorHAnsi"/>
          <w:sz w:val="22"/>
          <w:szCs w:val="22"/>
        </w:rPr>
        <w:t>100,2</w:t>
      </w:r>
      <w:r w:rsidR="00175C0C" w:rsidRPr="00110644">
        <w:rPr>
          <w:rFonts w:asciiTheme="minorHAnsi" w:hAnsiTheme="minorHAnsi" w:cstheme="minorHAnsi"/>
          <w:sz w:val="22"/>
          <w:szCs w:val="22"/>
        </w:rPr>
        <w:t>%)</w:t>
      </w:r>
      <w:r w:rsidR="003C034D" w:rsidRPr="00110644">
        <w:rPr>
          <w:rFonts w:asciiTheme="minorHAnsi" w:hAnsiTheme="minorHAnsi" w:cstheme="minorHAnsi"/>
          <w:sz w:val="22"/>
          <w:szCs w:val="22"/>
        </w:rPr>
        <w:t>, što je velikim</w:t>
      </w:r>
      <w:r w:rsidR="00E25090" w:rsidRPr="00110644">
        <w:rPr>
          <w:rFonts w:asciiTheme="minorHAnsi" w:hAnsiTheme="minorHAnsi" w:cstheme="minorHAnsi"/>
          <w:sz w:val="22"/>
          <w:szCs w:val="22"/>
        </w:rPr>
        <w:t xml:space="preserve"> dijelom</w:t>
      </w:r>
      <w:r w:rsidR="004D5012" w:rsidRPr="00110644">
        <w:rPr>
          <w:rFonts w:asciiTheme="minorHAnsi" w:hAnsiTheme="minorHAnsi" w:cstheme="minorHAnsi"/>
          <w:sz w:val="22"/>
          <w:szCs w:val="22"/>
        </w:rPr>
        <w:t xml:space="preserve"> posljedica </w:t>
      </w:r>
      <w:r w:rsidR="003C034D" w:rsidRPr="00110644">
        <w:rPr>
          <w:rFonts w:asciiTheme="minorHAnsi" w:hAnsiTheme="minorHAnsi" w:cstheme="minorHAnsi"/>
          <w:sz w:val="22"/>
          <w:szCs w:val="22"/>
        </w:rPr>
        <w:t>doznačenih namjenskih sredstava</w:t>
      </w:r>
      <w:r w:rsidR="00175C0C" w:rsidRPr="00110644">
        <w:rPr>
          <w:rFonts w:asciiTheme="minorHAnsi" w:hAnsiTheme="minorHAnsi" w:cstheme="minorHAnsi"/>
          <w:sz w:val="22"/>
          <w:szCs w:val="22"/>
        </w:rPr>
        <w:t xml:space="preserve"> od</w:t>
      </w:r>
      <w:r w:rsidR="00F364DD" w:rsidRPr="00110644">
        <w:rPr>
          <w:rFonts w:asciiTheme="minorHAnsi" w:hAnsiTheme="minorHAnsi" w:cstheme="minorHAnsi"/>
          <w:sz w:val="22"/>
          <w:szCs w:val="22"/>
        </w:rPr>
        <w:t xml:space="preserve"> Grada Zagreba za zaostatke iz 2022. godin</w:t>
      </w:r>
      <w:r w:rsidR="008B6C77">
        <w:rPr>
          <w:rFonts w:asciiTheme="minorHAnsi" w:hAnsiTheme="minorHAnsi" w:cstheme="minorHAnsi"/>
          <w:sz w:val="22"/>
          <w:szCs w:val="22"/>
        </w:rPr>
        <w:t>e za mrežnu i sistemsku opremu.</w:t>
      </w:r>
    </w:p>
    <w:p w14:paraId="5A1E0FD7" w14:textId="39C561D9" w:rsidR="008B6C77" w:rsidRDefault="00F364DD" w:rsidP="00774F4E">
      <w:pPr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>P</w:t>
      </w:r>
      <w:r w:rsidR="00175C0C" w:rsidRPr="00110644">
        <w:rPr>
          <w:rFonts w:asciiTheme="minorHAnsi" w:hAnsiTheme="minorHAnsi" w:cstheme="minorHAnsi"/>
          <w:sz w:val="22"/>
          <w:szCs w:val="22"/>
        </w:rPr>
        <w:t>okrić</w:t>
      </w:r>
      <w:r w:rsidR="000A202A" w:rsidRPr="00110644">
        <w:rPr>
          <w:rFonts w:asciiTheme="minorHAnsi" w:hAnsiTheme="minorHAnsi" w:cstheme="minorHAnsi"/>
          <w:sz w:val="22"/>
          <w:szCs w:val="22"/>
        </w:rPr>
        <w:t>e troškova za specijalizante (</w:t>
      </w:r>
      <w:r w:rsidR="00E65DD5" w:rsidRPr="00110644">
        <w:rPr>
          <w:rFonts w:asciiTheme="minorHAnsi" w:hAnsiTheme="minorHAnsi" w:cstheme="minorHAnsi"/>
          <w:sz w:val="22"/>
          <w:szCs w:val="22"/>
        </w:rPr>
        <w:t xml:space="preserve">planirana su </w:t>
      </w:r>
      <w:r w:rsidR="000A202A" w:rsidRPr="00110644">
        <w:rPr>
          <w:rFonts w:asciiTheme="minorHAnsi" w:hAnsiTheme="minorHAnsi" w:cstheme="minorHAnsi"/>
          <w:sz w:val="22"/>
          <w:szCs w:val="22"/>
        </w:rPr>
        <w:t>EU</w:t>
      </w:r>
      <w:r w:rsidR="00175C0C" w:rsidRPr="00110644">
        <w:rPr>
          <w:rFonts w:asciiTheme="minorHAnsi" w:hAnsiTheme="minorHAnsi" w:cstheme="minorHAnsi"/>
          <w:sz w:val="22"/>
          <w:szCs w:val="22"/>
        </w:rPr>
        <w:t xml:space="preserve"> sredstva</w:t>
      </w:r>
      <w:r w:rsidRPr="00110644">
        <w:rPr>
          <w:rFonts w:asciiTheme="minorHAnsi" w:hAnsiTheme="minorHAnsi" w:cstheme="minorHAnsi"/>
          <w:sz w:val="22"/>
          <w:szCs w:val="22"/>
        </w:rPr>
        <w:t xml:space="preserve"> iz </w:t>
      </w:r>
      <w:r w:rsidR="00E65DD5" w:rsidRPr="00110644">
        <w:rPr>
          <w:rFonts w:asciiTheme="minorHAnsi" w:hAnsiTheme="minorHAnsi" w:cstheme="minorHAnsi"/>
          <w:sz w:val="22"/>
          <w:szCs w:val="22"/>
        </w:rPr>
        <w:t xml:space="preserve">postojećeg </w:t>
      </w:r>
      <w:r w:rsidRPr="00110644">
        <w:rPr>
          <w:rFonts w:asciiTheme="minorHAnsi" w:hAnsiTheme="minorHAnsi" w:cstheme="minorHAnsi"/>
          <w:sz w:val="22"/>
          <w:szCs w:val="22"/>
        </w:rPr>
        <w:t xml:space="preserve">ESF </w:t>
      </w:r>
      <w:r w:rsidR="00E65DD5" w:rsidRPr="00110644">
        <w:rPr>
          <w:rFonts w:asciiTheme="minorHAnsi" w:hAnsiTheme="minorHAnsi" w:cstheme="minorHAnsi"/>
          <w:sz w:val="22"/>
          <w:szCs w:val="22"/>
        </w:rPr>
        <w:t xml:space="preserve">ali </w:t>
      </w:r>
      <w:r w:rsidRPr="00110644">
        <w:rPr>
          <w:rFonts w:asciiTheme="minorHAnsi" w:hAnsiTheme="minorHAnsi" w:cstheme="minorHAnsi"/>
          <w:sz w:val="22"/>
          <w:szCs w:val="22"/>
        </w:rPr>
        <w:t xml:space="preserve">i </w:t>
      </w:r>
      <w:r w:rsidR="00E65DD5" w:rsidRPr="00110644">
        <w:rPr>
          <w:rFonts w:asciiTheme="minorHAnsi" w:hAnsiTheme="minorHAnsi" w:cstheme="minorHAnsi"/>
          <w:sz w:val="22"/>
          <w:szCs w:val="22"/>
        </w:rPr>
        <w:t xml:space="preserve">nova iz </w:t>
      </w:r>
      <w:r w:rsidRPr="00110644">
        <w:rPr>
          <w:rFonts w:asciiTheme="minorHAnsi" w:hAnsiTheme="minorHAnsi" w:cstheme="minorHAnsi"/>
          <w:sz w:val="22"/>
          <w:szCs w:val="22"/>
        </w:rPr>
        <w:t>NPOO</w:t>
      </w:r>
      <w:r w:rsidR="00175C0C" w:rsidRPr="00110644">
        <w:rPr>
          <w:rFonts w:asciiTheme="minorHAnsi" w:hAnsiTheme="minorHAnsi" w:cstheme="minorHAnsi"/>
          <w:sz w:val="22"/>
          <w:szCs w:val="22"/>
        </w:rPr>
        <w:t>)</w:t>
      </w:r>
      <w:r w:rsidR="00EC08C7" w:rsidRPr="00110644">
        <w:rPr>
          <w:rFonts w:asciiTheme="minorHAnsi" w:hAnsiTheme="minorHAnsi" w:cstheme="minorHAnsi"/>
          <w:sz w:val="22"/>
          <w:szCs w:val="22"/>
        </w:rPr>
        <w:t xml:space="preserve"> su</w:t>
      </w:r>
      <w:r w:rsidR="00175C0C" w:rsidRPr="00110644">
        <w:rPr>
          <w:rFonts w:asciiTheme="minorHAnsi" w:hAnsiTheme="minorHAnsi" w:cstheme="minorHAnsi"/>
          <w:sz w:val="22"/>
          <w:szCs w:val="22"/>
        </w:rPr>
        <w:t xml:space="preserve"> naplaćen</w:t>
      </w:r>
      <w:r w:rsidR="00EC08C7" w:rsidRPr="00110644">
        <w:rPr>
          <w:rFonts w:asciiTheme="minorHAnsi" w:hAnsiTheme="minorHAnsi" w:cstheme="minorHAnsi"/>
          <w:sz w:val="22"/>
          <w:szCs w:val="22"/>
        </w:rPr>
        <w:t>a</w:t>
      </w:r>
      <w:r w:rsidR="001B76A7" w:rsidRPr="00110644">
        <w:rPr>
          <w:rFonts w:asciiTheme="minorHAnsi" w:hAnsiTheme="minorHAnsi" w:cstheme="minorHAnsi"/>
          <w:sz w:val="22"/>
          <w:szCs w:val="22"/>
        </w:rPr>
        <w:t xml:space="preserve"> u manjem</w:t>
      </w:r>
      <w:r w:rsidRPr="00110644">
        <w:rPr>
          <w:rFonts w:asciiTheme="minorHAnsi" w:hAnsiTheme="minorHAnsi" w:cstheme="minorHAnsi"/>
          <w:sz w:val="22"/>
          <w:szCs w:val="22"/>
        </w:rPr>
        <w:t xml:space="preserve"> iznosu od planiranog jer je </w:t>
      </w:r>
      <w:r w:rsidR="00055A50" w:rsidRPr="00110644">
        <w:rPr>
          <w:rFonts w:asciiTheme="minorHAnsi" w:hAnsiTheme="minorHAnsi" w:cstheme="minorHAnsi"/>
          <w:sz w:val="22"/>
          <w:szCs w:val="22"/>
        </w:rPr>
        <w:t xml:space="preserve">u 2023. </w:t>
      </w:r>
      <w:r w:rsidR="008B6C77">
        <w:rPr>
          <w:rFonts w:asciiTheme="minorHAnsi" w:hAnsiTheme="minorHAnsi" w:cstheme="minorHAnsi"/>
          <w:sz w:val="22"/>
          <w:szCs w:val="22"/>
        </w:rPr>
        <w:t>Europski socijalni fond</w:t>
      </w:r>
      <w:r w:rsidRPr="00110644">
        <w:rPr>
          <w:rFonts w:asciiTheme="minorHAnsi" w:hAnsiTheme="minorHAnsi" w:cstheme="minorHAnsi"/>
          <w:sz w:val="22"/>
          <w:szCs w:val="22"/>
        </w:rPr>
        <w:t xml:space="preserve"> završio s korištenjem a </w:t>
      </w:r>
      <w:r w:rsidR="00055A50" w:rsidRPr="00110644">
        <w:rPr>
          <w:rFonts w:asciiTheme="minorHAnsi" w:hAnsiTheme="minorHAnsi" w:cstheme="minorHAnsi"/>
          <w:sz w:val="22"/>
          <w:szCs w:val="22"/>
        </w:rPr>
        <w:t xml:space="preserve">financiranje </w:t>
      </w:r>
      <w:r w:rsidR="007E0695" w:rsidRPr="00110644">
        <w:rPr>
          <w:rFonts w:asciiTheme="minorHAnsi" w:hAnsiTheme="minorHAnsi" w:cstheme="minorHAnsi"/>
          <w:sz w:val="22"/>
          <w:szCs w:val="22"/>
        </w:rPr>
        <w:t xml:space="preserve">iz </w:t>
      </w:r>
      <w:r w:rsidRPr="00110644">
        <w:rPr>
          <w:rFonts w:asciiTheme="minorHAnsi" w:hAnsiTheme="minorHAnsi" w:cstheme="minorHAnsi"/>
          <w:sz w:val="22"/>
          <w:szCs w:val="22"/>
        </w:rPr>
        <w:t>NPOO još</w:t>
      </w:r>
      <w:r w:rsidR="007E0695" w:rsidRPr="00110644">
        <w:rPr>
          <w:rFonts w:asciiTheme="minorHAnsi" w:hAnsiTheme="minorHAnsi" w:cstheme="minorHAnsi"/>
          <w:sz w:val="22"/>
          <w:szCs w:val="22"/>
        </w:rPr>
        <w:t xml:space="preserve"> nije</w:t>
      </w:r>
      <w:r w:rsidRPr="00110644">
        <w:rPr>
          <w:rFonts w:asciiTheme="minorHAnsi" w:hAnsiTheme="minorHAnsi" w:cstheme="minorHAnsi"/>
          <w:sz w:val="22"/>
          <w:szCs w:val="22"/>
        </w:rPr>
        <w:t xml:space="preserve"> </w:t>
      </w:r>
      <w:r w:rsidR="00055A50" w:rsidRPr="00110644">
        <w:rPr>
          <w:rFonts w:asciiTheme="minorHAnsi" w:hAnsiTheme="minorHAnsi" w:cstheme="minorHAnsi"/>
          <w:sz w:val="22"/>
          <w:szCs w:val="22"/>
        </w:rPr>
        <w:t>realizirano</w:t>
      </w:r>
      <w:r w:rsidRPr="00110644">
        <w:rPr>
          <w:rFonts w:asciiTheme="minorHAnsi" w:hAnsiTheme="minorHAnsi" w:cstheme="minorHAnsi"/>
          <w:sz w:val="22"/>
          <w:szCs w:val="22"/>
        </w:rPr>
        <w:t>.</w:t>
      </w:r>
      <w:r w:rsidR="007E0695" w:rsidRPr="00110644">
        <w:rPr>
          <w:rFonts w:asciiTheme="minorHAnsi" w:hAnsiTheme="minorHAnsi" w:cstheme="minorHAnsi"/>
          <w:sz w:val="22"/>
          <w:szCs w:val="22"/>
        </w:rPr>
        <w:t xml:space="preserve"> Realizacija prihoda iz EU fondova kroz NPOO imala bi ionako neutralan efekt jer bi </w:t>
      </w:r>
      <w:r w:rsidR="007E0695" w:rsidRPr="00110644">
        <w:rPr>
          <w:rFonts w:asciiTheme="minorHAnsi" w:hAnsiTheme="minorHAnsi" w:cstheme="minorHAnsi"/>
          <w:sz w:val="22"/>
          <w:szCs w:val="22"/>
        </w:rPr>
        <w:lastRenderedPageBreak/>
        <w:t xml:space="preserve">zbog izbjegavanja dvostrukog financiranja </w:t>
      </w:r>
      <w:r w:rsidR="003A6669" w:rsidRPr="00110644">
        <w:rPr>
          <w:rFonts w:asciiTheme="minorHAnsi" w:hAnsiTheme="minorHAnsi" w:cstheme="minorHAnsi"/>
          <w:sz w:val="22"/>
          <w:szCs w:val="22"/>
        </w:rPr>
        <w:t xml:space="preserve">dobivena sredstva </w:t>
      </w:r>
      <w:r w:rsidR="007E0695" w:rsidRPr="00110644">
        <w:rPr>
          <w:rFonts w:asciiTheme="minorHAnsi" w:hAnsiTheme="minorHAnsi" w:cstheme="minorHAnsi"/>
          <w:sz w:val="22"/>
          <w:szCs w:val="22"/>
        </w:rPr>
        <w:t xml:space="preserve">bila uplaćena HZZO-u </w:t>
      </w:r>
      <w:r w:rsidR="003A6669" w:rsidRPr="00110644">
        <w:rPr>
          <w:rFonts w:asciiTheme="minorHAnsi" w:hAnsiTheme="minorHAnsi" w:cstheme="minorHAnsi"/>
          <w:sz w:val="22"/>
          <w:szCs w:val="22"/>
        </w:rPr>
        <w:t>budući da</w:t>
      </w:r>
      <w:r w:rsidR="007E0695" w:rsidRPr="00110644">
        <w:rPr>
          <w:rFonts w:asciiTheme="minorHAnsi" w:hAnsiTheme="minorHAnsi" w:cstheme="minorHAnsi"/>
          <w:sz w:val="22"/>
          <w:szCs w:val="22"/>
        </w:rPr>
        <w:t xml:space="preserve"> nije bilo zamjenskog zapošljavanja za </w:t>
      </w:r>
      <w:r w:rsidR="003A6669" w:rsidRPr="00110644">
        <w:rPr>
          <w:rFonts w:asciiTheme="minorHAnsi" w:hAnsiTheme="minorHAnsi" w:cstheme="minorHAnsi"/>
          <w:sz w:val="22"/>
          <w:szCs w:val="22"/>
        </w:rPr>
        <w:t>djelatnike upućene na specijalizaciju</w:t>
      </w:r>
      <w:r w:rsidR="007E0695" w:rsidRPr="00110644">
        <w:rPr>
          <w:rFonts w:asciiTheme="minorHAnsi" w:hAnsiTheme="minorHAnsi" w:cstheme="minorHAnsi"/>
          <w:sz w:val="22"/>
          <w:szCs w:val="22"/>
        </w:rPr>
        <w:t>.</w:t>
      </w:r>
    </w:p>
    <w:p w14:paraId="64478EB5" w14:textId="1839FA21" w:rsidR="00921575" w:rsidRPr="009F426A" w:rsidRDefault="00921575" w:rsidP="009F426A">
      <w:pPr>
        <w:pStyle w:val="NoSpacing"/>
        <w:jc w:val="left"/>
        <w:rPr>
          <w:rFonts w:asciiTheme="minorHAnsi" w:hAnsiTheme="minorHAnsi" w:cstheme="minorHAnsi"/>
          <w:i/>
          <w:sz w:val="20"/>
          <w:szCs w:val="20"/>
        </w:rPr>
      </w:pPr>
      <w:r w:rsidRPr="009F426A">
        <w:rPr>
          <w:rFonts w:asciiTheme="minorHAnsi" w:hAnsiTheme="minorHAnsi" w:cstheme="minorHAnsi"/>
          <w:i/>
          <w:sz w:val="20"/>
          <w:szCs w:val="20"/>
        </w:rPr>
        <w:t>Tablica 2a) Pregled EU projekata (Specijalističko usavršavanje doktora iz hitne medicine, ESF, 2018-2023)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0"/>
        <w:gridCol w:w="1220"/>
        <w:gridCol w:w="1269"/>
        <w:gridCol w:w="1579"/>
        <w:gridCol w:w="1396"/>
        <w:gridCol w:w="3688"/>
      </w:tblGrid>
      <w:tr w:rsidR="00921575" w:rsidRPr="00921575" w14:paraId="14E7EA9A" w14:textId="77777777" w:rsidTr="00921575">
        <w:trPr>
          <w:trHeight w:val="153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22D5529" w14:textId="1102A333" w:rsidR="00921575" w:rsidRPr="00921575" w:rsidRDefault="00921575" w:rsidP="00921575">
            <w:pPr>
              <w:spacing w:after="0" w:line="240" w:lineRule="auto"/>
              <w:ind w:firstLine="0"/>
              <w:jc w:val="center"/>
              <w:rPr>
                <w:rFonts w:cs="Calibri"/>
                <w:sz w:val="22"/>
                <w:szCs w:val="22"/>
              </w:rPr>
            </w:pPr>
            <w:proofErr w:type="spellStart"/>
            <w:r w:rsidRPr="00921575">
              <w:rPr>
                <w:rFonts w:cs="Calibri"/>
                <w:sz w:val="22"/>
                <w:szCs w:val="22"/>
              </w:rPr>
              <w:t>Ozn</w:t>
            </w:r>
            <w:proofErr w:type="spellEnd"/>
            <w:r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B94BB8A" w14:textId="77777777" w:rsidR="00921575" w:rsidRPr="00921575" w:rsidRDefault="00921575" w:rsidP="00921575">
            <w:pPr>
              <w:spacing w:after="0" w:line="240" w:lineRule="auto"/>
              <w:ind w:firstLine="0"/>
              <w:jc w:val="center"/>
              <w:rPr>
                <w:rFonts w:cs="Calibri"/>
                <w:bCs/>
                <w:sz w:val="22"/>
                <w:szCs w:val="22"/>
              </w:rPr>
            </w:pPr>
            <w:r w:rsidRPr="00921575">
              <w:rPr>
                <w:rFonts w:cs="Calibri"/>
                <w:bCs/>
                <w:sz w:val="22"/>
                <w:szCs w:val="22"/>
              </w:rPr>
              <w:t>Početak provedbe projekta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83DA2C9" w14:textId="77777777" w:rsidR="00921575" w:rsidRPr="00921575" w:rsidRDefault="00921575" w:rsidP="00921575">
            <w:pPr>
              <w:spacing w:after="0" w:line="240" w:lineRule="auto"/>
              <w:ind w:firstLine="0"/>
              <w:jc w:val="center"/>
              <w:rPr>
                <w:rFonts w:cs="Calibri"/>
                <w:bCs/>
                <w:sz w:val="22"/>
                <w:szCs w:val="22"/>
              </w:rPr>
            </w:pPr>
            <w:r w:rsidRPr="00921575">
              <w:rPr>
                <w:rFonts w:cs="Calibri"/>
                <w:bCs/>
                <w:sz w:val="22"/>
                <w:szCs w:val="22"/>
              </w:rPr>
              <w:t>Status projekta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F9AF0AE" w14:textId="77777777" w:rsidR="00921575" w:rsidRPr="00921575" w:rsidRDefault="00921575" w:rsidP="00921575">
            <w:pPr>
              <w:spacing w:after="0" w:line="240" w:lineRule="auto"/>
              <w:ind w:firstLine="0"/>
              <w:jc w:val="center"/>
              <w:rPr>
                <w:rFonts w:cs="Calibri"/>
                <w:bCs/>
                <w:sz w:val="22"/>
                <w:szCs w:val="22"/>
              </w:rPr>
            </w:pPr>
            <w:r w:rsidRPr="00921575">
              <w:rPr>
                <w:rFonts w:cs="Calibri"/>
                <w:bCs/>
                <w:sz w:val="22"/>
                <w:szCs w:val="22"/>
              </w:rPr>
              <w:t xml:space="preserve"> Ugovoreni iznos projekta </w:t>
            </w:r>
            <w:r w:rsidRPr="00921575">
              <w:rPr>
                <w:rFonts w:cs="Calibri"/>
                <w:bCs/>
                <w:sz w:val="22"/>
                <w:szCs w:val="22"/>
              </w:rPr>
              <w:br/>
              <w:t xml:space="preserve">(EUR) 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6102020" w14:textId="19533375" w:rsidR="00921575" w:rsidRPr="00921575" w:rsidRDefault="00921575" w:rsidP="00921575">
            <w:pPr>
              <w:spacing w:after="0" w:line="240" w:lineRule="auto"/>
              <w:ind w:firstLine="0"/>
              <w:jc w:val="center"/>
              <w:rPr>
                <w:rFonts w:cs="Calibri"/>
                <w:bCs/>
                <w:sz w:val="22"/>
                <w:szCs w:val="22"/>
              </w:rPr>
            </w:pPr>
            <w:r w:rsidRPr="00921575">
              <w:rPr>
                <w:rFonts w:cs="Calibri"/>
                <w:bCs/>
                <w:sz w:val="22"/>
                <w:szCs w:val="22"/>
              </w:rPr>
              <w:t xml:space="preserve">Iznos bespovratnih sredstava dodijeljen ustanovi </w:t>
            </w:r>
            <w:r w:rsidRPr="00921575">
              <w:rPr>
                <w:rFonts w:cs="Calibri"/>
                <w:bCs/>
                <w:sz w:val="22"/>
                <w:szCs w:val="22"/>
              </w:rPr>
              <w:br/>
              <w:t>(EUR)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3AD2818" w14:textId="77777777" w:rsidR="00921575" w:rsidRPr="00921575" w:rsidRDefault="00921575" w:rsidP="00921575">
            <w:pPr>
              <w:spacing w:after="0" w:line="240" w:lineRule="auto"/>
              <w:ind w:firstLine="0"/>
              <w:jc w:val="center"/>
              <w:rPr>
                <w:rFonts w:cs="Calibri"/>
                <w:sz w:val="22"/>
                <w:szCs w:val="22"/>
              </w:rPr>
            </w:pPr>
            <w:r w:rsidRPr="00921575">
              <w:rPr>
                <w:rFonts w:cs="Calibri"/>
                <w:sz w:val="22"/>
                <w:szCs w:val="22"/>
              </w:rPr>
              <w:t>Napomena</w:t>
            </w:r>
          </w:p>
        </w:tc>
      </w:tr>
      <w:tr w:rsidR="00921575" w:rsidRPr="00921575" w14:paraId="7C40614A" w14:textId="77777777" w:rsidTr="00921575">
        <w:trPr>
          <w:trHeight w:val="692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CD2B" w14:textId="77777777" w:rsidR="00921575" w:rsidRPr="00921575" w:rsidRDefault="00921575" w:rsidP="00921575">
            <w:pPr>
              <w:spacing w:after="0" w:line="240" w:lineRule="auto"/>
              <w:ind w:firstLine="0"/>
              <w:jc w:val="center"/>
              <w:rPr>
                <w:rFonts w:cs="Calibri"/>
                <w:sz w:val="22"/>
                <w:szCs w:val="22"/>
              </w:rPr>
            </w:pPr>
            <w:r w:rsidRPr="00921575">
              <w:rPr>
                <w:rFonts w:cs="Calibri"/>
                <w:sz w:val="22"/>
                <w:szCs w:val="22"/>
              </w:rPr>
              <w:t>A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1D33" w14:textId="77777777" w:rsidR="00921575" w:rsidRPr="00921575" w:rsidRDefault="00921575" w:rsidP="00921575">
            <w:pPr>
              <w:spacing w:after="0" w:line="240" w:lineRule="auto"/>
              <w:ind w:firstLine="0"/>
              <w:jc w:val="center"/>
              <w:rPr>
                <w:rFonts w:cs="Calibri"/>
                <w:sz w:val="22"/>
                <w:szCs w:val="22"/>
              </w:rPr>
            </w:pPr>
            <w:r w:rsidRPr="00921575">
              <w:rPr>
                <w:rFonts w:cs="Calibri"/>
                <w:sz w:val="22"/>
                <w:szCs w:val="22"/>
              </w:rPr>
              <w:t>25.05.2018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2443" w14:textId="77777777" w:rsidR="00921575" w:rsidRPr="00921575" w:rsidRDefault="00921575" w:rsidP="00921575">
            <w:pPr>
              <w:spacing w:after="0" w:line="240" w:lineRule="auto"/>
              <w:ind w:firstLine="0"/>
              <w:jc w:val="center"/>
              <w:rPr>
                <w:rFonts w:cs="Calibri"/>
                <w:sz w:val="22"/>
                <w:szCs w:val="22"/>
              </w:rPr>
            </w:pPr>
            <w:r w:rsidRPr="00921575">
              <w:rPr>
                <w:rFonts w:cs="Calibri"/>
                <w:sz w:val="22"/>
                <w:szCs w:val="22"/>
              </w:rPr>
              <w:t>Započet, nerealiziran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1912" w14:textId="77777777" w:rsidR="00921575" w:rsidRPr="00921575" w:rsidRDefault="00921575" w:rsidP="00921575">
            <w:pPr>
              <w:spacing w:after="0" w:line="240" w:lineRule="auto"/>
              <w:ind w:firstLine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21575">
              <w:rPr>
                <w:rFonts w:cs="Calibri"/>
                <w:color w:val="000000"/>
                <w:sz w:val="22"/>
                <w:szCs w:val="22"/>
              </w:rPr>
              <w:t xml:space="preserve">    167.721,59 €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B5C2" w14:textId="30F883D4" w:rsidR="00921575" w:rsidRPr="00921575" w:rsidRDefault="00921575" w:rsidP="00921575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921575">
              <w:rPr>
                <w:rFonts w:cs="Calibri"/>
                <w:color w:val="000000"/>
                <w:sz w:val="22"/>
                <w:szCs w:val="22"/>
              </w:rPr>
              <w:t xml:space="preserve">23.140,55 € 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B4BD" w14:textId="77A07DDB" w:rsidR="00921575" w:rsidRPr="00921575" w:rsidRDefault="00921575" w:rsidP="00C01306">
            <w:pPr>
              <w:spacing w:after="0" w:line="240" w:lineRule="auto"/>
              <w:ind w:firstLine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921575">
              <w:rPr>
                <w:rFonts w:cs="Calibri"/>
                <w:color w:val="000000"/>
                <w:sz w:val="22"/>
                <w:szCs w:val="22"/>
              </w:rPr>
              <w:t xml:space="preserve">Specijalizant je 12.11.2018. otkazao ugovor i odustao od specijalizacije radi započinjanja druge specijalizacije. Do 02.07.2019. ustanovi su isplaćena prvotno odobrena sredstva u iznosu 174.352,44 kn/23.140,55 eur. </w:t>
            </w:r>
          </w:p>
        </w:tc>
      </w:tr>
      <w:tr w:rsidR="00921575" w:rsidRPr="00921575" w14:paraId="2D75B5D4" w14:textId="77777777" w:rsidTr="00921575">
        <w:trPr>
          <w:trHeight w:val="975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61A6" w14:textId="77777777" w:rsidR="00921575" w:rsidRPr="00921575" w:rsidRDefault="00921575" w:rsidP="00921575">
            <w:pPr>
              <w:spacing w:after="0" w:line="240" w:lineRule="auto"/>
              <w:ind w:firstLine="0"/>
              <w:jc w:val="center"/>
              <w:rPr>
                <w:rFonts w:cs="Calibri"/>
                <w:sz w:val="22"/>
                <w:szCs w:val="22"/>
              </w:rPr>
            </w:pPr>
            <w:r w:rsidRPr="00921575">
              <w:rPr>
                <w:rFonts w:cs="Calibri"/>
                <w:sz w:val="22"/>
                <w:szCs w:val="22"/>
              </w:rPr>
              <w:t>B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5A71" w14:textId="77777777" w:rsidR="00921575" w:rsidRPr="00921575" w:rsidRDefault="00921575" w:rsidP="00921575">
            <w:pPr>
              <w:spacing w:after="0" w:line="240" w:lineRule="auto"/>
              <w:ind w:firstLine="0"/>
              <w:jc w:val="center"/>
              <w:rPr>
                <w:rFonts w:cs="Calibri"/>
                <w:sz w:val="22"/>
                <w:szCs w:val="22"/>
              </w:rPr>
            </w:pPr>
            <w:r w:rsidRPr="00921575">
              <w:rPr>
                <w:rFonts w:cs="Calibri"/>
                <w:sz w:val="22"/>
                <w:szCs w:val="22"/>
              </w:rPr>
              <w:t>25.05.2018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53AC" w14:textId="77777777" w:rsidR="00921575" w:rsidRPr="00921575" w:rsidRDefault="00921575" w:rsidP="00921575">
            <w:pPr>
              <w:spacing w:after="0" w:line="240" w:lineRule="auto"/>
              <w:ind w:firstLine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21575">
              <w:rPr>
                <w:rFonts w:cs="Calibri"/>
                <w:color w:val="000000"/>
                <w:sz w:val="22"/>
                <w:szCs w:val="22"/>
              </w:rPr>
              <w:t>Završen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D243" w14:textId="77777777" w:rsidR="00921575" w:rsidRPr="00921575" w:rsidRDefault="00921575" w:rsidP="00921575">
            <w:pPr>
              <w:spacing w:after="0" w:line="240" w:lineRule="auto"/>
              <w:ind w:firstLine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21575">
              <w:rPr>
                <w:rFonts w:cs="Calibri"/>
                <w:color w:val="000000"/>
                <w:sz w:val="22"/>
                <w:szCs w:val="22"/>
              </w:rPr>
              <w:t xml:space="preserve">    165.916,87 €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39F2" w14:textId="6FE5E86E" w:rsidR="00921575" w:rsidRPr="00921575" w:rsidRDefault="00921575" w:rsidP="00921575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921575">
              <w:rPr>
                <w:rFonts w:cs="Calibri"/>
                <w:color w:val="000000"/>
                <w:sz w:val="22"/>
                <w:szCs w:val="22"/>
              </w:rPr>
              <w:t xml:space="preserve">149.948,04 € 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B814" w14:textId="77777777" w:rsidR="00921575" w:rsidRPr="00921575" w:rsidRDefault="00921575" w:rsidP="00921575">
            <w:pPr>
              <w:spacing w:after="0" w:line="240" w:lineRule="auto"/>
              <w:ind w:firstLine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921575">
              <w:rPr>
                <w:rFonts w:cs="Calibri"/>
                <w:color w:val="000000"/>
                <w:sz w:val="22"/>
                <w:szCs w:val="22"/>
              </w:rPr>
              <w:t>Specijalizant je položio specijalistički ispit 16.10.2023. i započeo 02.11.2023. rad u matičnoj zdravstvenoj ustanovi.</w:t>
            </w:r>
          </w:p>
        </w:tc>
      </w:tr>
      <w:tr w:rsidR="00921575" w:rsidRPr="00921575" w14:paraId="79D0E2E7" w14:textId="77777777" w:rsidTr="00921575">
        <w:trPr>
          <w:trHeight w:val="2055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4256" w14:textId="77777777" w:rsidR="00921575" w:rsidRPr="00921575" w:rsidRDefault="00921575" w:rsidP="00921575">
            <w:pPr>
              <w:spacing w:after="0" w:line="240" w:lineRule="auto"/>
              <w:ind w:firstLine="0"/>
              <w:jc w:val="center"/>
              <w:rPr>
                <w:rFonts w:cs="Calibri"/>
                <w:sz w:val="22"/>
                <w:szCs w:val="22"/>
              </w:rPr>
            </w:pPr>
            <w:r w:rsidRPr="00921575">
              <w:rPr>
                <w:rFonts w:cs="Calibri"/>
                <w:sz w:val="22"/>
                <w:szCs w:val="22"/>
              </w:rPr>
              <w:t>C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85E7" w14:textId="77777777" w:rsidR="00921575" w:rsidRPr="00921575" w:rsidRDefault="00921575" w:rsidP="00921575">
            <w:pPr>
              <w:spacing w:after="0" w:line="240" w:lineRule="auto"/>
              <w:ind w:firstLine="0"/>
              <w:jc w:val="center"/>
              <w:rPr>
                <w:rFonts w:cs="Calibri"/>
                <w:sz w:val="22"/>
                <w:szCs w:val="22"/>
              </w:rPr>
            </w:pPr>
            <w:r w:rsidRPr="00921575">
              <w:rPr>
                <w:rFonts w:cs="Calibri"/>
                <w:sz w:val="22"/>
                <w:szCs w:val="22"/>
              </w:rPr>
              <w:t>25.05.2018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361B" w14:textId="77777777" w:rsidR="00921575" w:rsidRPr="00921575" w:rsidRDefault="00921575" w:rsidP="00921575">
            <w:pPr>
              <w:spacing w:after="0" w:line="240" w:lineRule="auto"/>
              <w:ind w:firstLine="0"/>
              <w:jc w:val="center"/>
              <w:rPr>
                <w:rFonts w:cs="Calibri"/>
                <w:sz w:val="22"/>
                <w:szCs w:val="22"/>
              </w:rPr>
            </w:pPr>
            <w:r w:rsidRPr="00921575">
              <w:rPr>
                <w:rFonts w:cs="Calibri"/>
                <w:sz w:val="22"/>
                <w:szCs w:val="22"/>
              </w:rPr>
              <w:t>U provedbi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8DB1" w14:textId="77777777" w:rsidR="00921575" w:rsidRPr="00921575" w:rsidRDefault="00921575" w:rsidP="00921575">
            <w:pPr>
              <w:spacing w:after="0" w:line="240" w:lineRule="auto"/>
              <w:ind w:firstLine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21575">
              <w:rPr>
                <w:rFonts w:cs="Calibri"/>
                <w:color w:val="000000"/>
                <w:sz w:val="22"/>
                <w:szCs w:val="22"/>
              </w:rPr>
              <w:t xml:space="preserve">    165.308,21 €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77B9" w14:textId="0D6D2C6C" w:rsidR="00921575" w:rsidRPr="00921575" w:rsidRDefault="00921575" w:rsidP="00921575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921575">
              <w:rPr>
                <w:rFonts w:cs="Calibri"/>
                <w:color w:val="000000"/>
                <w:sz w:val="22"/>
                <w:szCs w:val="22"/>
              </w:rPr>
              <w:t xml:space="preserve">161.364,69 € 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C56F" w14:textId="77777777" w:rsidR="00921575" w:rsidRPr="00921575" w:rsidRDefault="00921575" w:rsidP="00921575">
            <w:pPr>
              <w:spacing w:after="0" w:line="240" w:lineRule="auto"/>
              <w:ind w:firstLine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921575">
              <w:rPr>
                <w:rFonts w:cs="Calibri"/>
                <w:color w:val="000000"/>
                <w:sz w:val="22"/>
                <w:szCs w:val="22"/>
              </w:rPr>
              <w:t>Specijalizant na 31.12.2023. još nije položio specijalistički ispit radi privremene nesposobnosti za rad, a što sukladno odredbama Pravilnika o specijalističkom usavršavanju doktora medicine predstavlja opravdani razlog zbog kojeg se trajanje specijalizacije produžuje. Prihvatljivost troškova projekta završila je 31.12.2023.</w:t>
            </w:r>
          </w:p>
        </w:tc>
      </w:tr>
      <w:tr w:rsidR="00921575" w:rsidRPr="00921575" w14:paraId="1C13D62F" w14:textId="77777777" w:rsidTr="00921575">
        <w:trPr>
          <w:trHeight w:val="225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9EDE" w14:textId="77777777" w:rsidR="00921575" w:rsidRPr="00921575" w:rsidRDefault="00921575" w:rsidP="00921575">
            <w:pPr>
              <w:spacing w:after="0" w:line="240" w:lineRule="auto"/>
              <w:ind w:firstLine="0"/>
              <w:jc w:val="center"/>
              <w:rPr>
                <w:rFonts w:cs="Calibri"/>
                <w:sz w:val="22"/>
                <w:szCs w:val="22"/>
              </w:rPr>
            </w:pPr>
            <w:r w:rsidRPr="00921575">
              <w:rPr>
                <w:rFonts w:cs="Calibri"/>
                <w:sz w:val="22"/>
                <w:szCs w:val="22"/>
              </w:rPr>
              <w:t>D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5ACE" w14:textId="77777777" w:rsidR="00921575" w:rsidRPr="00921575" w:rsidRDefault="00921575" w:rsidP="00921575">
            <w:pPr>
              <w:spacing w:after="0" w:line="240" w:lineRule="auto"/>
              <w:ind w:firstLine="0"/>
              <w:jc w:val="center"/>
              <w:rPr>
                <w:rFonts w:cs="Calibri"/>
                <w:sz w:val="22"/>
                <w:szCs w:val="22"/>
              </w:rPr>
            </w:pPr>
            <w:r w:rsidRPr="00921575">
              <w:rPr>
                <w:rFonts w:cs="Calibri"/>
                <w:sz w:val="22"/>
                <w:szCs w:val="22"/>
              </w:rPr>
              <w:t>25.05.2018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4D10" w14:textId="77777777" w:rsidR="00921575" w:rsidRPr="00921575" w:rsidRDefault="00921575" w:rsidP="00921575">
            <w:pPr>
              <w:spacing w:after="0" w:line="240" w:lineRule="auto"/>
              <w:ind w:firstLine="0"/>
              <w:jc w:val="center"/>
              <w:rPr>
                <w:rFonts w:cs="Calibri"/>
                <w:sz w:val="22"/>
                <w:szCs w:val="22"/>
              </w:rPr>
            </w:pPr>
            <w:r w:rsidRPr="00921575">
              <w:rPr>
                <w:rFonts w:cs="Calibri"/>
                <w:sz w:val="22"/>
                <w:szCs w:val="22"/>
              </w:rPr>
              <w:t>U provedbi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4145" w14:textId="77777777" w:rsidR="00921575" w:rsidRPr="00921575" w:rsidRDefault="00921575" w:rsidP="00921575">
            <w:pPr>
              <w:spacing w:after="0" w:line="240" w:lineRule="auto"/>
              <w:ind w:firstLine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21575">
              <w:rPr>
                <w:rFonts w:cs="Calibri"/>
                <w:color w:val="000000"/>
                <w:sz w:val="22"/>
                <w:szCs w:val="22"/>
              </w:rPr>
              <w:t xml:space="preserve">    162.834,86 €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C178" w14:textId="5FC5D12A" w:rsidR="00921575" w:rsidRPr="00921575" w:rsidRDefault="00921575" w:rsidP="00921575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921575">
              <w:rPr>
                <w:rFonts w:cs="Calibri"/>
                <w:color w:val="000000"/>
                <w:sz w:val="22"/>
                <w:szCs w:val="22"/>
              </w:rPr>
              <w:t xml:space="preserve">148.660,58 € 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E46C" w14:textId="77777777" w:rsidR="00921575" w:rsidRPr="00921575" w:rsidRDefault="00921575" w:rsidP="00921575">
            <w:pPr>
              <w:spacing w:after="0" w:line="240" w:lineRule="auto"/>
              <w:ind w:firstLine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921575">
              <w:rPr>
                <w:rFonts w:cs="Calibri"/>
                <w:color w:val="000000"/>
                <w:sz w:val="22"/>
                <w:szCs w:val="22"/>
              </w:rPr>
              <w:t xml:space="preserve">Specijalizant na 31.12.2023. još nije položio specijalistički ispit radi korištenja dopusta iz propisa kojim se regulira </w:t>
            </w:r>
            <w:proofErr w:type="spellStart"/>
            <w:r w:rsidRPr="00921575">
              <w:rPr>
                <w:rFonts w:cs="Calibri"/>
                <w:color w:val="000000"/>
                <w:sz w:val="22"/>
                <w:szCs w:val="22"/>
              </w:rPr>
              <w:t>rodiljni</w:t>
            </w:r>
            <w:proofErr w:type="spellEnd"/>
            <w:r w:rsidRPr="00921575">
              <w:rPr>
                <w:rFonts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21575">
              <w:rPr>
                <w:rFonts w:cs="Calibri"/>
                <w:color w:val="000000"/>
                <w:sz w:val="22"/>
                <w:szCs w:val="22"/>
              </w:rPr>
              <w:t>posvojiteljski</w:t>
            </w:r>
            <w:proofErr w:type="spellEnd"/>
            <w:r w:rsidRPr="00921575">
              <w:rPr>
                <w:rFonts w:cs="Calibri"/>
                <w:color w:val="000000"/>
                <w:sz w:val="22"/>
                <w:szCs w:val="22"/>
              </w:rPr>
              <w:t xml:space="preserve"> i roditeljski dopust, a što sukladno odredbama Pravilnika o specijalističkom usavršavanju doktora medicine predstavlja opravdani razlog zbog kojeg se trajanje specijalizacije produžuje. Prihvatljivost troškova projekta završila je 31.12.2023.</w:t>
            </w:r>
          </w:p>
        </w:tc>
      </w:tr>
      <w:tr w:rsidR="00921575" w:rsidRPr="00921575" w14:paraId="589A8B83" w14:textId="77777777" w:rsidTr="00C01306">
        <w:trPr>
          <w:trHeight w:val="1184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7F79" w14:textId="77777777" w:rsidR="00921575" w:rsidRPr="00921575" w:rsidRDefault="00921575" w:rsidP="00921575">
            <w:pPr>
              <w:spacing w:after="0" w:line="240" w:lineRule="auto"/>
              <w:ind w:firstLine="0"/>
              <w:jc w:val="center"/>
              <w:rPr>
                <w:rFonts w:cs="Calibri"/>
                <w:sz w:val="22"/>
                <w:szCs w:val="22"/>
              </w:rPr>
            </w:pPr>
            <w:r w:rsidRPr="00921575">
              <w:rPr>
                <w:rFonts w:cs="Calibri"/>
                <w:sz w:val="22"/>
                <w:szCs w:val="22"/>
              </w:rPr>
              <w:t>E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9251" w14:textId="77777777" w:rsidR="00921575" w:rsidRPr="00921575" w:rsidRDefault="00921575" w:rsidP="00921575">
            <w:pPr>
              <w:spacing w:after="0" w:line="240" w:lineRule="auto"/>
              <w:ind w:firstLine="0"/>
              <w:jc w:val="center"/>
              <w:rPr>
                <w:rFonts w:cs="Calibri"/>
                <w:sz w:val="22"/>
                <w:szCs w:val="22"/>
              </w:rPr>
            </w:pPr>
            <w:r w:rsidRPr="00921575">
              <w:rPr>
                <w:rFonts w:cs="Calibri"/>
                <w:sz w:val="22"/>
                <w:szCs w:val="22"/>
              </w:rPr>
              <w:t>03.09.2018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8835" w14:textId="77777777" w:rsidR="00921575" w:rsidRPr="00921575" w:rsidRDefault="00921575" w:rsidP="00921575">
            <w:pPr>
              <w:spacing w:after="0" w:line="240" w:lineRule="auto"/>
              <w:ind w:firstLine="0"/>
              <w:jc w:val="center"/>
              <w:rPr>
                <w:rFonts w:cs="Calibri"/>
                <w:sz w:val="22"/>
                <w:szCs w:val="22"/>
              </w:rPr>
            </w:pPr>
            <w:r w:rsidRPr="00921575">
              <w:rPr>
                <w:rFonts w:cs="Calibri"/>
                <w:sz w:val="22"/>
                <w:szCs w:val="22"/>
              </w:rPr>
              <w:t>Završen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00E4" w14:textId="77777777" w:rsidR="00921575" w:rsidRPr="00921575" w:rsidRDefault="00921575" w:rsidP="00921575">
            <w:pPr>
              <w:spacing w:after="0" w:line="240" w:lineRule="auto"/>
              <w:ind w:firstLine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21575">
              <w:rPr>
                <w:rFonts w:cs="Calibri"/>
                <w:color w:val="000000"/>
                <w:sz w:val="22"/>
                <w:szCs w:val="22"/>
              </w:rPr>
              <w:t xml:space="preserve">    167.773,41 €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080A" w14:textId="314F9DCF" w:rsidR="00921575" w:rsidRPr="00921575" w:rsidRDefault="00921575" w:rsidP="00921575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921575">
              <w:rPr>
                <w:rFonts w:cs="Calibri"/>
                <w:color w:val="000000"/>
                <w:sz w:val="22"/>
                <w:szCs w:val="22"/>
              </w:rPr>
              <w:t xml:space="preserve">149.948,04 € 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56FA" w14:textId="3C94FEAF" w:rsidR="00921575" w:rsidRPr="00921575" w:rsidRDefault="00921575" w:rsidP="00C01306">
            <w:pPr>
              <w:spacing w:after="0" w:line="240" w:lineRule="auto"/>
              <w:ind w:firstLine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921575">
              <w:rPr>
                <w:rFonts w:cs="Calibri"/>
                <w:color w:val="000000"/>
                <w:sz w:val="22"/>
                <w:szCs w:val="22"/>
              </w:rPr>
              <w:t xml:space="preserve">Specijalizant je položio specijalistički ispit 16.10.2023. i započeo </w:t>
            </w:r>
            <w:r w:rsidR="00C01306">
              <w:rPr>
                <w:rFonts w:cs="Calibri"/>
                <w:color w:val="000000"/>
                <w:sz w:val="22"/>
                <w:szCs w:val="22"/>
              </w:rPr>
              <w:t>0</w:t>
            </w:r>
            <w:r w:rsidRPr="00921575">
              <w:rPr>
                <w:rFonts w:cs="Calibri"/>
                <w:color w:val="000000"/>
                <w:sz w:val="22"/>
                <w:szCs w:val="22"/>
              </w:rPr>
              <w:t xml:space="preserve">2.11.2023. rad u </w:t>
            </w:r>
            <w:r w:rsidR="00C01306">
              <w:rPr>
                <w:rFonts w:cs="Calibri"/>
                <w:color w:val="000000"/>
                <w:sz w:val="22"/>
                <w:szCs w:val="22"/>
              </w:rPr>
              <w:t>matičnoj zdravstvenoj ustanovi.</w:t>
            </w:r>
          </w:p>
        </w:tc>
      </w:tr>
    </w:tbl>
    <w:p w14:paraId="32432FBF" w14:textId="77777777" w:rsidR="008B6C77" w:rsidRDefault="008B6C77" w:rsidP="00774F4E">
      <w:pPr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4D2C7A86" w14:textId="52EB91BF" w:rsidR="00EF2CEB" w:rsidRPr="00110644" w:rsidRDefault="003D2D7E" w:rsidP="00774F4E">
      <w:pPr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>Kod poslova</w:t>
      </w:r>
      <w:r w:rsidR="0013120F" w:rsidRPr="00110644">
        <w:rPr>
          <w:rFonts w:asciiTheme="minorHAnsi" w:hAnsiTheme="minorHAnsi" w:cstheme="minorHAnsi"/>
          <w:sz w:val="22"/>
          <w:szCs w:val="22"/>
        </w:rPr>
        <w:t xml:space="preserve"> na tržištu (dežurstva</w:t>
      </w:r>
      <w:r w:rsidR="00055A50" w:rsidRPr="00110644">
        <w:rPr>
          <w:rFonts w:asciiTheme="minorHAnsi" w:hAnsiTheme="minorHAnsi" w:cstheme="minorHAnsi"/>
          <w:sz w:val="22"/>
          <w:szCs w:val="22"/>
        </w:rPr>
        <w:t xml:space="preserve"> i edukacije</w:t>
      </w:r>
      <w:r w:rsidR="0013120F" w:rsidRPr="00110644">
        <w:rPr>
          <w:rFonts w:asciiTheme="minorHAnsi" w:hAnsiTheme="minorHAnsi" w:cstheme="minorHAnsi"/>
          <w:sz w:val="22"/>
          <w:szCs w:val="22"/>
        </w:rPr>
        <w:t xml:space="preserve">) </w:t>
      </w:r>
      <w:r w:rsidR="00F364DD" w:rsidRPr="00110644">
        <w:rPr>
          <w:rFonts w:asciiTheme="minorHAnsi" w:hAnsiTheme="minorHAnsi" w:cstheme="minorHAnsi"/>
          <w:sz w:val="22"/>
          <w:szCs w:val="22"/>
        </w:rPr>
        <w:t>vidljivo je smanjenje u odnosu i na planirano i realiz</w:t>
      </w:r>
      <w:r w:rsidR="009A2588" w:rsidRPr="00110644">
        <w:rPr>
          <w:rFonts w:asciiTheme="minorHAnsi" w:hAnsiTheme="minorHAnsi" w:cstheme="minorHAnsi"/>
          <w:sz w:val="22"/>
          <w:szCs w:val="22"/>
        </w:rPr>
        <w:t>irano</w:t>
      </w:r>
      <w:r w:rsidR="00F364DD" w:rsidRPr="00110644">
        <w:rPr>
          <w:rFonts w:asciiTheme="minorHAnsi" w:hAnsiTheme="minorHAnsi" w:cstheme="minorHAnsi"/>
          <w:sz w:val="22"/>
          <w:szCs w:val="22"/>
        </w:rPr>
        <w:t xml:space="preserve"> prethodne godine</w:t>
      </w:r>
      <w:r w:rsidR="0013120F" w:rsidRPr="00110644">
        <w:rPr>
          <w:rFonts w:asciiTheme="minorHAnsi" w:hAnsiTheme="minorHAnsi" w:cstheme="minorHAnsi"/>
          <w:sz w:val="22"/>
          <w:szCs w:val="22"/>
        </w:rPr>
        <w:t>.</w:t>
      </w:r>
      <w:r w:rsidR="00055A50" w:rsidRPr="00110644">
        <w:rPr>
          <w:rFonts w:asciiTheme="minorHAnsi" w:hAnsiTheme="minorHAnsi" w:cstheme="minorHAnsi"/>
          <w:sz w:val="22"/>
          <w:szCs w:val="22"/>
        </w:rPr>
        <w:t xml:space="preserve"> Refundacije za rashode po osnovi sudskih tužbi zbog pogrešnog obračuna plaća (prekovremeni i osnovica) dogodile su se u drugom dijelu godine ali ne u visini planiranih veličina.</w:t>
      </w:r>
    </w:p>
    <w:p w14:paraId="3E655713" w14:textId="58603BAA" w:rsidR="00774F4E" w:rsidRPr="00110644" w:rsidRDefault="00F364DD" w:rsidP="002F1DA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 xml:space="preserve">U 2023. izostale su nadoknade Grada Zagreba troškova za </w:t>
      </w:r>
      <w:r w:rsidR="004B10F7" w:rsidRPr="00110644">
        <w:rPr>
          <w:rFonts w:asciiTheme="minorHAnsi" w:hAnsiTheme="minorHAnsi" w:cstheme="minorHAnsi"/>
          <w:sz w:val="22"/>
          <w:szCs w:val="22"/>
        </w:rPr>
        <w:t>potrebe „</w:t>
      </w:r>
      <w:r w:rsidRPr="00110644">
        <w:rPr>
          <w:rFonts w:asciiTheme="minorHAnsi" w:hAnsiTheme="minorHAnsi" w:cstheme="minorHAnsi"/>
          <w:sz w:val="22"/>
          <w:szCs w:val="22"/>
        </w:rPr>
        <w:t>Covid</w:t>
      </w:r>
      <w:r w:rsidR="006D153E" w:rsidRPr="00110644">
        <w:rPr>
          <w:rFonts w:asciiTheme="minorHAnsi" w:hAnsiTheme="minorHAnsi" w:cstheme="minorHAnsi"/>
          <w:sz w:val="22"/>
          <w:szCs w:val="22"/>
        </w:rPr>
        <w:t>-19</w:t>
      </w:r>
      <w:r w:rsidR="004B10F7" w:rsidRPr="00110644">
        <w:rPr>
          <w:rFonts w:asciiTheme="minorHAnsi" w:hAnsiTheme="minorHAnsi" w:cstheme="minorHAnsi"/>
          <w:sz w:val="22"/>
          <w:szCs w:val="22"/>
        </w:rPr>
        <w:t>“</w:t>
      </w:r>
      <w:r w:rsidRPr="00110644">
        <w:rPr>
          <w:rFonts w:asciiTheme="minorHAnsi" w:hAnsiTheme="minorHAnsi" w:cstheme="minorHAnsi"/>
          <w:sz w:val="22"/>
          <w:szCs w:val="22"/>
        </w:rPr>
        <w:t xml:space="preserve"> u vidu zaključaka</w:t>
      </w:r>
      <w:r w:rsidR="009A2588" w:rsidRPr="00110644">
        <w:rPr>
          <w:rFonts w:asciiTheme="minorHAnsi" w:hAnsiTheme="minorHAnsi" w:cstheme="minorHAnsi"/>
          <w:sz w:val="22"/>
          <w:szCs w:val="22"/>
        </w:rPr>
        <w:t xml:space="preserve"> gradonačelnika viđenih u 2022.</w:t>
      </w:r>
      <w:r w:rsidRPr="00110644">
        <w:rPr>
          <w:rFonts w:asciiTheme="minorHAnsi" w:hAnsiTheme="minorHAnsi" w:cstheme="minorHAnsi"/>
          <w:sz w:val="22"/>
          <w:szCs w:val="22"/>
        </w:rPr>
        <w:t>, ali je zato u većem iznosu odobreno povećan</w:t>
      </w:r>
      <w:r w:rsidR="00055A50" w:rsidRPr="00110644">
        <w:rPr>
          <w:rFonts w:asciiTheme="minorHAnsi" w:hAnsiTheme="minorHAnsi" w:cstheme="minorHAnsi"/>
          <w:sz w:val="22"/>
          <w:szCs w:val="22"/>
        </w:rPr>
        <w:t xml:space="preserve">je limita </w:t>
      </w:r>
      <w:r w:rsidR="006D153E" w:rsidRPr="00110644">
        <w:rPr>
          <w:rFonts w:asciiTheme="minorHAnsi" w:hAnsiTheme="minorHAnsi" w:cstheme="minorHAnsi"/>
          <w:sz w:val="22"/>
          <w:szCs w:val="22"/>
        </w:rPr>
        <w:t xml:space="preserve">iz lokalnog proračuna </w:t>
      </w:r>
      <w:r w:rsidR="00055A50" w:rsidRPr="00110644">
        <w:rPr>
          <w:rFonts w:asciiTheme="minorHAnsi" w:hAnsiTheme="minorHAnsi" w:cstheme="minorHAnsi"/>
          <w:sz w:val="22"/>
          <w:szCs w:val="22"/>
        </w:rPr>
        <w:t xml:space="preserve">za rashode poslovanja </w:t>
      </w:r>
      <w:r w:rsidR="009A2588" w:rsidRPr="00110644">
        <w:rPr>
          <w:rFonts w:asciiTheme="minorHAnsi" w:hAnsiTheme="minorHAnsi" w:cstheme="minorHAnsi"/>
          <w:sz w:val="22"/>
          <w:szCs w:val="22"/>
        </w:rPr>
        <w:t>kroz</w:t>
      </w:r>
      <w:r w:rsidR="00055A50" w:rsidRPr="00110644">
        <w:rPr>
          <w:rFonts w:asciiTheme="minorHAnsi" w:hAnsiTheme="minorHAnsi" w:cstheme="minorHAnsi"/>
          <w:sz w:val="22"/>
          <w:szCs w:val="22"/>
        </w:rPr>
        <w:t xml:space="preserve"> II. izmjen</w:t>
      </w:r>
      <w:r w:rsidR="009A2588" w:rsidRPr="00110644">
        <w:rPr>
          <w:rFonts w:asciiTheme="minorHAnsi" w:hAnsiTheme="minorHAnsi" w:cstheme="minorHAnsi"/>
          <w:sz w:val="22"/>
          <w:szCs w:val="22"/>
        </w:rPr>
        <w:t>u</w:t>
      </w:r>
      <w:r w:rsidR="00055A50" w:rsidRPr="00110644">
        <w:rPr>
          <w:rFonts w:asciiTheme="minorHAnsi" w:hAnsiTheme="minorHAnsi" w:cstheme="minorHAnsi"/>
          <w:sz w:val="22"/>
          <w:szCs w:val="22"/>
        </w:rPr>
        <w:t xml:space="preserve"> financijskog plana.</w:t>
      </w:r>
    </w:p>
    <w:p w14:paraId="50CA390F" w14:textId="652F71EE" w:rsidR="006D153E" w:rsidRPr="00110644" w:rsidRDefault="006D153E" w:rsidP="002F1DA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lastRenderedPageBreak/>
        <w:t>Na kontu 6341 Tekuće pomoći od izvanproračunskih korisnika</w:t>
      </w:r>
      <w:r w:rsidR="00DF3C6D" w:rsidRPr="00110644">
        <w:rPr>
          <w:rFonts w:asciiTheme="minorHAnsi" w:hAnsiTheme="minorHAnsi" w:cstheme="minorHAnsi"/>
          <w:sz w:val="22"/>
          <w:szCs w:val="22"/>
        </w:rPr>
        <w:t xml:space="preserve"> (HZZO),</w:t>
      </w:r>
      <w:r w:rsidRPr="00110644">
        <w:rPr>
          <w:rFonts w:asciiTheme="minorHAnsi" w:hAnsiTheme="minorHAnsi" w:cstheme="minorHAnsi"/>
          <w:sz w:val="22"/>
          <w:szCs w:val="22"/>
        </w:rPr>
        <w:t xml:space="preserve"> Zavod u 2023. počinje, temeljem preporuka stručne literature, knjižiti prihode temeljem Odluke o posebnoj nagradi radnicima u sustavu zdravstva koji obavljaju poslove vezane za pružanje zdravstvene skrbi pacijentima oboljelima od bolesti Covid-19 (NN136/20), ranije knjiženo na 6731.</w:t>
      </w:r>
    </w:p>
    <w:p w14:paraId="78FBE763" w14:textId="42009DAB" w:rsidR="006D153E" w:rsidRPr="00110644" w:rsidRDefault="00774F4E" w:rsidP="006D153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 xml:space="preserve">Vlastite prihode </w:t>
      </w:r>
      <w:r w:rsidR="009A2588" w:rsidRPr="00110644">
        <w:rPr>
          <w:rFonts w:asciiTheme="minorHAnsi" w:hAnsiTheme="minorHAnsi" w:cstheme="minorHAnsi"/>
          <w:sz w:val="22"/>
          <w:szCs w:val="22"/>
        </w:rPr>
        <w:t xml:space="preserve">Zavod uglavnom </w:t>
      </w:r>
      <w:r w:rsidRPr="00110644">
        <w:rPr>
          <w:rFonts w:asciiTheme="minorHAnsi" w:hAnsiTheme="minorHAnsi" w:cstheme="minorHAnsi"/>
          <w:sz w:val="22"/>
          <w:szCs w:val="22"/>
        </w:rPr>
        <w:t>ostvaruje pružanjem zdravstvenih usluga mimo HZZO-a, pružanjem usluga edukacije te usluga dežurstava na športskim i drugim masovnim skupovima, takozvanim uslugama za „tržište“. Zatim slijedi naknada štete od osiguravajuć</w:t>
      </w:r>
      <w:r w:rsidR="00C2520F" w:rsidRPr="00110644">
        <w:rPr>
          <w:rFonts w:asciiTheme="minorHAnsi" w:hAnsiTheme="minorHAnsi" w:cstheme="minorHAnsi"/>
          <w:sz w:val="22"/>
          <w:szCs w:val="22"/>
        </w:rPr>
        <w:t xml:space="preserve">ih društava, </w:t>
      </w:r>
      <w:r w:rsidR="006D153E" w:rsidRPr="00110644">
        <w:rPr>
          <w:rFonts w:asciiTheme="minorHAnsi" w:hAnsiTheme="minorHAnsi" w:cstheme="minorHAnsi"/>
          <w:sz w:val="22"/>
          <w:szCs w:val="22"/>
        </w:rPr>
        <w:t>prodaja</w:t>
      </w:r>
      <w:r w:rsidRPr="00110644">
        <w:rPr>
          <w:rFonts w:asciiTheme="minorHAnsi" w:hAnsiTheme="minorHAnsi" w:cstheme="minorHAnsi"/>
          <w:sz w:val="22"/>
          <w:szCs w:val="22"/>
        </w:rPr>
        <w:t xml:space="preserve"> nefinancijske imovine i ostali prihodi. Tijekom godine </w:t>
      </w:r>
      <w:r w:rsidR="009A2588" w:rsidRPr="00110644">
        <w:rPr>
          <w:rFonts w:asciiTheme="minorHAnsi" w:hAnsiTheme="minorHAnsi" w:cstheme="minorHAnsi"/>
          <w:sz w:val="22"/>
          <w:szCs w:val="22"/>
        </w:rPr>
        <w:t xml:space="preserve">Zavod je </w:t>
      </w:r>
      <w:r w:rsidRPr="00110644">
        <w:rPr>
          <w:rFonts w:asciiTheme="minorHAnsi" w:hAnsiTheme="minorHAnsi" w:cstheme="minorHAnsi"/>
          <w:sz w:val="22"/>
          <w:szCs w:val="22"/>
        </w:rPr>
        <w:t>prim</w:t>
      </w:r>
      <w:r w:rsidR="009A2588" w:rsidRPr="00110644">
        <w:rPr>
          <w:rFonts w:asciiTheme="minorHAnsi" w:hAnsiTheme="minorHAnsi" w:cstheme="minorHAnsi"/>
          <w:sz w:val="22"/>
          <w:szCs w:val="22"/>
        </w:rPr>
        <w:t>io</w:t>
      </w:r>
      <w:r w:rsidRPr="00110644">
        <w:rPr>
          <w:rFonts w:asciiTheme="minorHAnsi" w:hAnsiTheme="minorHAnsi" w:cstheme="minorHAnsi"/>
          <w:sz w:val="22"/>
          <w:szCs w:val="22"/>
        </w:rPr>
        <w:t xml:space="preserve"> </w:t>
      </w:r>
      <w:r w:rsidR="006D153E" w:rsidRPr="00110644">
        <w:rPr>
          <w:rFonts w:asciiTheme="minorHAnsi" w:hAnsiTheme="minorHAnsi" w:cstheme="minorHAnsi"/>
          <w:sz w:val="22"/>
          <w:szCs w:val="22"/>
        </w:rPr>
        <w:t>određenu</w:t>
      </w:r>
      <w:r w:rsidRPr="00110644">
        <w:rPr>
          <w:rFonts w:asciiTheme="minorHAnsi" w:hAnsiTheme="minorHAnsi" w:cstheme="minorHAnsi"/>
          <w:sz w:val="22"/>
          <w:szCs w:val="22"/>
        </w:rPr>
        <w:t xml:space="preserve"> količinu zaštitnih sredstava, koj</w:t>
      </w:r>
      <w:r w:rsidR="009A2588" w:rsidRPr="00110644">
        <w:rPr>
          <w:rFonts w:asciiTheme="minorHAnsi" w:hAnsiTheme="minorHAnsi" w:cstheme="minorHAnsi"/>
          <w:sz w:val="22"/>
          <w:szCs w:val="22"/>
        </w:rPr>
        <w:t>a</w:t>
      </w:r>
      <w:r w:rsidRPr="00110644">
        <w:rPr>
          <w:rFonts w:asciiTheme="minorHAnsi" w:hAnsiTheme="minorHAnsi" w:cstheme="minorHAnsi"/>
          <w:sz w:val="22"/>
          <w:szCs w:val="22"/>
        </w:rPr>
        <w:t xml:space="preserve"> </w:t>
      </w:r>
      <w:r w:rsidR="009A2588" w:rsidRPr="00110644">
        <w:rPr>
          <w:rFonts w:asciiTheme="minorHAnsi" w:hAnsiTheme="minorHAnsi" w:cstheme="minorHAnsi"/>
          <w:sz w:val="22"/>
          <w:szCs w:val="22"/>
        </w:rPr>
        <w:t xml:space="preserve">je </w:t>
      </w:r>
      <w:r w:rsidRPr="00110644">
        <w:rPr>
          <w:rFonts w:asciiTheme="minorHAnsi" w:hAnsiTheme="minorHAnsi" w:cstheme="minorHAnsi"/>
          <w:sz w:val="22"/>
          <w:szCs w:val="22"/>
        </w:rPr>
        <w:t>knjiž</w:t>
      </w:r>
      <w:r w:rsidR="009A2588" w:rsidRPr="00110644">
        <w:rPr>
          <w:rFonts w:asciiTheme="minorHAnsi" w:hAnsiTheme="minorHAnsi" w:cstheme="minorHAnsi"/>
          <w:sz w:val="22"/>
          <w:szCs w:val="22"/>
        </w:rPr>
        <w:t>ena</w:t>
      </w:r>
      <w:r w:rsidRPr="00110644">
        <w:rPr>
          <w:rFonts w:asciiTheme="minorHAnsi" w:hAnsiTheme="minorHAnsi" w:cstheme="minorHAnsi"/>
          <w:sz w:val="22"/>
          <w:szCs w:val="22"/>
        </w:rPr>
        <w:t xml:space="preserve"> na povećanj</w:t>
      </w:r>
      <w:r w:rsidR="009A2588" w:rsidRPr="00110644">
        <w:rPr>
          <w:rFonts w:asciiTheme="minorHAnsi" w:hAnsiTheme="minorHAnsi" w:cstheme="minorHAnsi"/>
          <w:sz w:val="22"/>
          <w:szCs w:val="22"/>
        </w:rPr>
        <w:t>e</w:t>
      </w:r>
      <w:r w:rsidRPr="00110644">
        <w:rPr>
          <w:rFonts w:asciiTheme="minorHAnsi" w:hAnsiTheme="minorHAnsi" w:cstheme="minorHAnsi"/>
          <w:sz w:val="22"/>
          <w:szCs w:val="22"/>
        </w:rPr>
        <w:t xml:space="preserve"> obujma kratkotrajne imovine u iznosu od</w:t>
      </w:r>
      <w:r w:rsidR="006D153E" w:rsidRPr="00110644">
        <w:rPr>
          <w:rFonts w:asciiTheme="minorHAnsi" w:hAnsiTheme="minorHAnsi" w:cstheme="minorHAnsi"/>
          <w:sz w:val="22"/>
          <w:szCs w:val="22"/>
        </w:rPr>
        <w:t xml:space="preserve"> 44.951,01 eur (podskupina 915)</w:t>
      </w:r>
      <w:r w:rsidRPr="00110644">
        <w:rPr>
          <w:rFonts w:asciiTheme="minorHAnsi" w:hAnsiTheme="minorHAnsi" w:cstheme="minorHAnsi"/>
          <w:sz w:val="22"/>
          <w:szCs w:val="22"/>
        </w:rPr>
        <w:t xml:space="preserve">. </w:t>
      </w:r>
      <w:r w:rsidR="009A2588" w:rsidRPr="00110644">
        <w:rPr>
          <w:rFonts w:asciiTheme="minorHAnsi" w:hAnsiTheme="minorHAnsi" w:cstheme="minorHAnsi"/>
          <w:sz w:val="22"/>
          <w:szCs w:val="22"/>
        </w:rPr>
        <w:t xml:space="preserve">Ove su </w:t>
      </w:r>
      <w:r w:rsidRPr="00110644">
        <w:rPr>
          <w:rFonts w:asciiTheme="minorHAnsi" w:hAnsiTheme="minorHAnsi" w:cstheme="minorHAnsi"/>
          <w:sz w:val="22"/>
          <w:szCs w:val="22"/>
        </w:rPr>
        <w:t>donacije</w:t>
      </w:r>
      <w:r w:rsidR="006D153E" w:rsidRPr="00110644">
        <w:rPr>
          <w:rFonts w:asciiTheme="minorHAnsi" w:hAnsiTheme="minorHAnsi" w:cstheme="minorHAnsi"/>
          <w:sz w:val="22"/>
          <w:szCs w:val="22"/>
        </w:rPr>
        <w:t>, iako smanjene u odnosu na godinu ranije,</w:t>
      </w:r>
      <w:r w:rsidRPr="00110644">
        <w:rPr>
          <w:rFonts w:asciiTheme="minorHAnsi" w:hAnsiTheme="minorHAnsi" w:cstheme="minorHAnsi"/>
          <w:sz w:val="22"/>
          <w:szCs w:val="22"/>
        </w:rPr>
        <w:t xml:space="preserve"> omogućile </w:t>
      </w:r>
      <w:r w:rsidR="006D153E" w:rsidRPr="00110644">
        <w:rPr>
          <w:rFonts w:asciiTheme="minorHAnsi" w:hAnsiTheme="minorHAnsi" w:cstheme="minorHAnsi"/>
          <w:sz w:val="22"/>
          <w:szCs w:val="22"/>
        </w:rPr>
        <w:t>efikasniju</w:t>
      </w:r>
      <w:r w:rsidRPr="00110644">
        <w:rPr>
          <w:rFonts w:asciiTheme="minorHAnsi" w:hAnsiTheme="minorHAnsi" w:cstheme="minorHAnsi"/>
          <w:sz w:val="22"/>
          <w:szCs w:val="22"/>
        </w:rPr>
        <w:t xml:space="preserve"> zaštitu </w:t>
      </w:r>
      <w:r w:rsidR="009A2588" w:rsidRPr="00110644">
        <w:rPr>
          <w:rFonts w:asciiTheme="minorHAnsi" w:hAnsiTheme="minorHAnsi" w:cstheme="minorHAnsi"/>
          <w:sz w:val="22"/>
          <w:szCs w:val="22"/>
        </w:rPr>
        <w:t>djelatnika</w:t>
      </w:r>
      <w:r w:rsidRPr="00110644">
        <w:rPr>
          <w:rFonts w:asciiTheme="minorHAnsi" w:hAnsiTheme="minorHAnsi" w:cstheme="minorHAnsi"/>
          <w:sz w:val="22"/>
          <w:szCs w:val="22"/>
        </w:rPr>
        <w:t xml:space="preserve">. Prodajom sedam rashodovanih sanitetskih vozila ostvareno je </w:t>
      </w:r>
      <w:r w:rsidR="006D153E" w:rsidRPr="00110644">
        <w:rPr>
          <w:rFonts w:asciiTheme="minorHAnsi" w:hAnsiTheme="minorHAnsi" w:cstheme="minorHAnsi"/>
          <w:sz w:val="22"/>
          <w:szCs w:val="22"/>
        </w:rPr>
        <w:t>7.703,00 eur</w:t>
      </w:r>
      <w:r w:rsidRPr="00110644">
        <w:rPr>
          <w:rFonts w:asciiTheme="minorHAnsi" w:hAnsiTheme="minorHAnsi" w:cstheme="minorHAnsi"/>
          <w:sz w:val="22"/>
          <w:szCs w:val="22"/>
        </w:rPr>
        <w:t xml:space="preserve"> prihoda od nefinancijske imovine. Prodaja je provedena posredstvom TRCZ Automobili d.o.o.</w:t>
      </w:r>
      <w:r w:rsidR="006D153E" w:rsidRPr="00110644">
        <w:rPr>
          <w:rFonts w:asciiTheme="minorHAnsi" w:hAnsiTheme="minorHAnsi" w:cstheme="minorHAnsi"/>
          <w:sz w:val="22"/>
          <w:szCs w:val="22"/>
        </w:rPr>
        <w:t xml:space="preserve"> </w:t>
      </w:r>
      <w:r w:rsidR="00AB6494" w:rsidRPr="00110644">
        <w:rPr>
          <w:rFonts w:asciiTheme="minorHAnsi" w:hAnsiTheme="minorHAnsi" w:cstheme="minorHAnsi"/>
          <w:sz w:val="22"/>
          <w:szCs w:val="22"/>
        </w:rPr>
        <w:t>Od prvotno planiranog n</w:t>
      </w:r>
      <w:r w:rsidR="006D153E" w:rsidRPr="00110644">
        <w:rPr>
          <w:rFonts w:asciiTheme="minorHAnsi" w:hAnsiTheme="minorHAnsi" w:cstheme="minorHAnsi"/>
          <w:sz w:val="22"/>
          <w:szCs w:val="22"/>
        </w:rPr>
        <w:t xml:space="preserve">ovog </w:t>
      </w:r>
      <w:r w:rsidR="00AB6494" w:rsidRPr="00110644">
        <w:rPr>
          <w:rFonts w:asciiTheme="minorHAnsi" w:hAnsiTheme="minorHAnsi" w:cstheme="minorHAnsi"/>
          <w:sz w:val="22"/>
          <w:szCs w:val="22"/>
        </w:rPr>
        <w:t xml:space="preserve">bankovnog </w:t>
      </w:r>
      <w:r w:rsidR="006D153E" w:rsidRPr="00110644">
        <w:rPr>
          <w:rFonts w:asciiTheme="minorHAnsi" w:hAnsiTheme="minorHAnsi" w:cstheme="minorHAnsi"/>
          <w:sz w:val="22"/>
          <w:szCs w:val="22"/>
        </w:rPr>
        <w:t>zaduž</w:t>
      </w:r>
      <w:r w:rsidR="00AB6494" w:rsidRPr="00110644">
        <w:rPr>
          <w:rFonts w:asciiTheme="minorHAnsi" w:hAnsiTheme="minorHAnsi" w:cstheme="minorHAnsi"/>
          <w:sz w:val="22"/>
          <w:szCs w:val="22"/>
        </w:rPr>
        <w:t>enja</w:t>
      </w:r>
      <w:r w:rsidR="006D153E" w:rsidRPr="00110644">
        <w:rPr>
          <w:rFonts w:asciiTheme="minorHAnsi" w:hAnsiTheme="minorHAnsi" w:cstheme="minorHAnsi"/>
          <w:sz w:val="22"/>
          <w:szCs w:val="22"/>
        </w:rPr>
        <w:t xml:space="preserve"> </w:t>
      </w:r>
      <w:r w:rsidR="00AB6494" w:rsidRPr="00110644">
        <w:rPr>
          <w:rFonts w:asciiTheme="minorHAnsi" w:hAnsiTheme="minorHAnsi" w:cstheme="minorHAnsi"/>
          <w:sz w:val="22"/>
          <w:szCs w:val="22"/>
        </w:rPr>
        <w:t xml:space="preserve">Zavoda kod banaka </w:t>
      </w:r>
      <w:r w:rsidR="00DF3C6D" w:rsidRPr="00110644">
        <w:rPr>
          <w:rFonts w:asciiTheme="minorHAnsi" w:hAnsiTheme="minorHAnsi" w:cstheme="minorHAnsi"/>
          <w:sz w:val="22"/>
          <w:szCs w:val="22"/>
        </w:rPr>
        <w:t xml:space="preserve">(razred 8) </w:t>
      </w:r>
      <w:r w:rsidR="006D153E" w:rsidRPr="00110644">
        <w:rPr>
          <w:rFonts w:asciiTheme="minorHAnsi" w:hAnsiTheme="minorHAnsi" w:cstheme="minorHAnsi"/>
          <w:sz w:val="22"/>
          <w:szCs w:val="22"/>
        </w:rPr>
        <w:t xml:space="preserve">za kupnju </w:t>
      </w:r>
      <w:r w:rsidR="00DF3C6D" w:rsidRPr="00110644">
        <w:rPr>
          <w:rFonts w:asciiTheme="minorHAnsi" w:hAnsiTheme="minorHAnsi" w:cstheme="minorHAnsi"/>
          <w:sz w:val="22"/>
          <w:szCs w:val="22"/>
        </w:rPr>
        <w:t>idućeg kontingenta vozila sukladno planu obnove voznog parka</w:t>
      </w:r>
      <w:r w:rsidR="006D153E" w:rsidRPr="00110644">
        <w:rPr>
          <w:rFonts w:asciiTheme="minorHAnsi" w:hAnsiTheme="minorHAnsi" w:cstheme="minorHAnsi"/>
          <w:sz w:val="22"/>
          <w:szCs w:val="22"/>
        </w:rPr>
        <w:t xml:space="preserve"> </w:t>
      </w:r>
      <w:r w:rsidR="00AB6494" w:rsidRPr="00110644">
        <w:rPr>
          <w:rFonts w:asciiTheme="minorHAnsi" w:hAnsiTheme="minorHAnsi" w:cstheme="minorHAnsi"/>
          <w:sz w:val="22"/>
          <w:szCs w:val="22"/>
        </w:rPr>
        <w:t xml:space="preserve">odustalo se odnosno prebacilo </w:t>
      </w:r>
      <w:r w:rsidR="00DF3C6D" w:rsidRPr="00110644">
        <w:rPr>
          <w:rFonts w:asciiTheme="minorHAnsi" w:hAnsiTheme="minorHAnsi" w:cstheme="minorHAnsi"/>
          <w:sz w:val="22"/>
          <w:szCs w:val="22"/>
        </w:rPr>
        <w:t>u</w:t>
      </w:r>
      <w:r w:rsidR="00AB6494" w:rsidRPr="00110644">
        <w:rPr>
          <w:rFonts w:asciiTheme="minorHAnsi" w:hAnsiTheme="minorHAnsi" w:cstheme="minorHAnsi"/>
          <w:sz w:val="22"/>
          <w:szCs w:val="22"/>
        </w:rPr>
        <w:t xml:space="preserve"> 2024. </w:t>
      </w:r>
      <w:r w:rsidR="00DF3C6D" w:rsidRPr="00110644">
        <w:rPr>
          <w:rFonts w:asciiTheme="minorHAnsi" w:hAnsiTheme="minorHAnsi" w:cstheme="minorHAnsi"/>
          <w:sz w:val="22"/>
          <w:szCs w:val="22"/>
        </w:rPr>
        <w:t xml:space="preserve">na financiranje </w:t>
      </w:r>
      <w:r w:rsidR="00AB6494" w:rsidRPr="00110644">
        <w:rPr>
          <w:rFonts w:asciiTheme="minorHAnsi" w:hAnsiTheme="minorHAnsi" w:cstheme="minorHAnsi"/>
          <w:sz w:val="22"/>
          <w:szCs w:val="22"/>
        </w:rPr>
        <w:t>kroz sredstva lokalnog proračuna</w:t>
      </w:r>
      <w:r w:rsidR="00DF3C6D" w:rsidRPr="00110644">
        <w:rPr>
          <w:rFonts w:asciiTheme="minorHAnsi" w:hAnsiTheme="minorHAnsi" w:cstheme="minorHAnsi"/>
          <w:sz w:val="22"/>
          <w:szCs w:val="22"/>
        </w:rPr>
        <w:t xml:space="preserve"> zbog nepovoljnih uvjeta kreditiranja u </w:t>
      </w:r>
      <w:proofErr w:type="spellStart"/>
      <w:r w:rsidR="00DF3C6D" w:rsidRPr="00110644">
        <w:rPr>
          <w:rFonts w:asciiTheme="minorHAnsi" w:hAnsiTheme="minorHAnsi" w:cstheme="minorHAnsi"/>
          <w:sz w:val="22"/>
          <w:szCs w:val="22"/>
        </w:rPr>
        <w:t>datom</w:t>
      </w:r>
      <w:proofErr w:type="spellEnd"/>
      <w:r w:rsidR="00DF3C6D" w:rsidRPr="00110644">
        <w:rPr>
          <w:rFonts w:asciiTheme="minorHAnsi" w:hAnsiTheme="minorHAnsi" w:cstheme="minorHAnsi"/>
          <w:sz w:val="22"/>
          <w:szCs w:val="22"/>
        </w:rPr>
        <w:t xml:space="preserve"> trenutku 2023. godine.</w:t>
      </w:r>
    </w:p>
    <w:p w14:paraId="3C1FE6EB" w14:textId="62FCF463" w:rsidR="00EF2CEB" w:rsidRDefault="00C274EF" w:rsidP="00F3254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>Sukladno gore navedenom, ukupni priho</w:t>
      </w:r>
      <w:r w:rsidR="00281914" w:rsidRPr="00110644">
        <w:rPr>
          <w:rFonts w:asciiTheme="minorHAnsi" w:hAnsiTheme="minorHAnsi" w:cstheme="minorHAnsi"/>
          <w:sz w:val="22"/>
          <w:szCs w:val="22"/>
        </w:rPr>
        <w:t xml:space="preserve">di </w:t>
      </w:r>
      <w:r w:rsidR="00847EFA">
        <w:rPr>
          <w:rFonts w:asciiTheme="minorHAnsi" w:hAnsiTheme="minorHAnsi" w:cstheme="minorHAnsi"/>
          <w:sz w:val="22"/>
          <w:szCs w:val="22"/>
        </w:rPr>
        <w:t xml:space="preserve">i primici </w:t>
      </w:r>
      <w:r w:rsidR="00281914" w:rsidRPr="00110644">
        <w:rPr>
          <w:rFonts w:asciiTheme="minorHAnsi" w:hAnsiTheme="minorHAnsi" w:cstheme="minorHAnsi"/>
          <w:sz w:val="22"/>
          <w:szCs w:val="22"/>
        </w:rPr>
        <w:t xml:space="preserve">su ostvareni u </w:t>
      </w:r>
      <w:r w:rsidR="00055A50" w:rsidRPr="00110644">
        <w:rPr>
          <w:rFonts w:asciiTheme="minorHAnsi" w:hAnsiTheme="minorHAnsi" w:cstheme="minorHAnsi"/>
          <w:sz w:val="22"/>
          <w:szCs w:val="22"/>
        </w:rPr>
        <w:t>većem</w:t>
      </w:r>
      <w:r w:rsidR="00281914" w:rsidRPr="00110644">
        <w:rPr>
          <w:rFonts w:asciiTheme="minorHAnsi" w:hAnsiTheme="minorHAnsi" w:cstheme="minorHAnsi"/>
          <w:sz w:val="22"/>
          <w:szCs w:val="22"/>
        </w:rPr>
        <w:t xml:space="preserve"> iznosu</w:t>
      </w:r>
      <w:r w:rsidR="00300C3F" w:rsidRPr="00110644">
        <w:rPr>
          <w:rFonts w:asciiTheme="minorHAnsi" w:hAnsiTheme="minorHAnsi" w:cstheme="minorHAnsi"/>
          <w:sz w:val="22"/>
          <w:szCs w:val="22"/>
        </w:rPr>
        <w:t xml:space="preserve"> za </w:t>
      </w:r>
      <w:r w:rsidR="00847EFA" w:rsidRPr="00847EFA">
        <w:rPr>
          <w:rFonts w:asciiTheme="minorHAnsi" w:hAnsiTheme="minorHAnsi" w:cstheme="minorHAnsi"/>
          <w:b/>
          <w:sz w:val="22"/>
          <w:szCs w:val="22"/>
        </w:rPr>
        <w:t>33.544,17</w:t>
      </w:r>
      <w:r w:rsidR="004B10F7" w:rsidRPr="00110644">
        <w:rPr>
          <w:rFonts w:asciiTheme="minorHAnsi" w:hAnsiTheme="minorHAnsi" w:cstheme="minorHAnsi"/>
          <w:b/>
          <w:sz w:val="22"/>
          <w:szCs w:val="22"/>
        </w:rPr>
        <w:t xml:space="preserve"> eur </w:t>
      </w:r>
      <w:r w:rsidR="00D776D3" w:rsidRPr="00110644">
        <w:rPr>
          <w:rFonts w:asciiTheme="minorHAnsi" w:hAnsiTheme="minorHAnsi" w:cstheme="minorHAnsi"/>
          <w:sz w:val="22"/>
          <w:szCs w:val="22"/>
        </w:rPr>
        <w:t>u odnosu na P</w:t>
      </w:r>
      <w:r w:rsidRPr="00110644">
        <w:rPr>
          <w:rFonts w:asciiTheme="minorHAnsi" w:hAnsiTheme="minorHAnsi" w:cstheme="minorHAnsi"/>
          <w:sz w:val="22"/>
          <w:szCs w:val="22"/>
        </w:rPr>
        <w:t>lan.</w:t>
      </w:r>
      <w:r w:rsidR="00F3254F" w:rsidRPr="00110644">
        <w:rPr>
          <w:rFonts w:asciiTheme="minorHAnsi" w:hAnsiTheme="minorHAnsi" w:cstheme="minorHAnsi"/>
          <w:sz w:val="22"/>
          <w:szCs w:val="22"/>
        </w:rPr>
        <w:t xml:space="preserve"> </w:t>
      </w:r>
      <w:r w:rsidRPr="00110644">
        <w:rPr>
          <w:rFonts w:asciiTheme="minorHAnsi" w:hAnsiTheme="minorHAnsi" w:cstheme="minorHAnsi"/>
          <w:sz w:val="22"/>
          <w:szCs w:val="22"/>
        </w:rPr>
        <w:t>Kako se osnovna djelatn</w:t>
      </w:r>
      <w:r w:rsidR="000B635B" w:rsidRPr="00110644">
        <w:rPr>
          <w:rFonts w:asciiTheme="minorHAnsi" w:hAnsiTheme="minorHAnsi" w:cstheme="minorHAnsi"/>
          <w:sz w:val="22"/>
          <w:szCs w:val="22"/>
        </w:rPr>
        <w:t xml:space="preserve">ost </w:t>
      </w:r>
      <w:r w:rsidR="006D153E" w:rsidRPr="00110644">
        <w:rPr>
          <w:rFonts w:asciiTheme="minorHAnsi" w:hAnsiTheme="minorHAnsi" w:cstheme="minorHAnsi"/>
          <w:sz w:val="22"/>
          <w:szCs w:val="22"/>
        </w:rPr>
        <w:t xml:space="preserve">Zavoda </w:t>
      </w:r>
      <w:r w:rsidR="000B635B" w:rsidRPr="00110644">
        <w:rPr>
          <w:rFonts w:asciiTheme="minorHAnsi" w:hAnsiTheme="minorHAnsi" w:cstheme="minorHAnsi"/>
          <w:sz w:val="22"/>
          <w:szCs w:val="22"/>
        </w:rPr>
        <w:t>financira iz proračuna od</w:t>
      </w:r>
      <w:r w:rsidRPr="00110644">
        <w:rPr>
          <w:rFonts w:asciiTheme="minorHAnsi" w:hAnsiTheme="minorHAnsi" w:cstheme="minorHAnsi"/>
          <w:sz w:val="22"/>
          <w:szCs w:val="22"/>
        </w:rPr>
        <w:t xml:space="preserve"> HZZO-a, razumljiva je i struktura ostvarenog prihoda</w:t>
      </w:r>
      <w:r w:rsidR="00A94DD3" w:rsidRPr="00110644">
        <w:rPr>
          <w:rFonts w:asciiTheme="minorHAnsi" w:hAnsiTheme="minorHAnsi" w:cstheme="minorHAnsi"/>
          <w:sz w:val="22"/>
          <w:szCs w:val="22"/>
        </w:rPr>
        <w:t xml:space="preserve"> poslovanja</w:t>
      </w:r>
      <w:r w:rsidRPr="00110644">
        <w:rPr>
          <w:rFonts w:asciiTheme="minorHAnsi" w:hAnsiTheme="minorHAnsi" w:cstheme="minorHAnsi"/>
          <w:sz w:val="22"/>
          <w:szCs w:val="22"/>
        </w:rPr>
        <w:t xml:space="preserve"> prikazana u grafičkom prikazu (Grafikon 1).</w:t>
      </w:r>
    </w:p>
    <w:p w14:paraId="2EEA9D7D" w14:textId="66E54D09" w:rsidR="00C274EF" w:rsidRPr="00110644" w:rsidRDefault="00C274EF" w:rsidP="00206EA6">
      <w:pPr>
        <w:pStyle w:val="Caption"/>
        <w:rPr>
          <w:rFonts w:asciiTheme="minorHAnsi" w:hAnsiTheme="minorHAnsi" w:cstheme="minorHAnsi"/>
        </w:rPr>
      </w:pPr>
      <w:bookmarkStart w:id="4" w:name="_Toc473481406"/>
      <w:r w:rsidRPr="00110644">
        <w:rPr>
          <w:rFonts w:asciiTheme="minorHAnsi" w:hAnsiTheme="minorHAnsi" w:cstheme="minorHAnsi"/>
        </w:rPr>
        <w:t>Grafikon</w:t>
      </w:r>
      <w:r w:rsidR="009F5DE3" w:rsidRPr="00110644">
        <w:rPr>
          <w:rFonts w:asciiTheme="minorHAnsi" w:hAnsiTheme="minorHAnsi" w:cstheme="minorHAnsi"/>
        </w:rPr>
        <w:t xml:space="preserve"> </w:t>
      </w:r>
      <w:r w:rsidRPr="00110644">
        <w:rPr>
          <w:rFonts w:asciiTheme="minorHAnsi" w:hAnsiTheme="minorHAnsi" w:cstheme="minorHAnsi"/>
        </w:rPr>
        <w:t>1:</w:t>
      </w:r>
      <w:r w:rsidR="00DD10A5">
        <w:rPr>
          <w:rFonts w:asciiTheme="minorHAnsi" w:hAnsiTheme="minorHAnsi" w:cstheme="minorHAnsi"/>
        </w:rPr>
        <w:t xml:space="preserve"> </w:t>
      </w:r>
      <w:r w:rsidRPr="00110644">
        <w:rPr>
          <w:rFonts w:asciiTheme="minorHAnsi" w:hAnsiTheme="minorHAnsi" w:cstheme="minorHAnsi"/>
        </w:rPr>
        <w:t xml:space="preserve">Struktura </w:t>
      </w:r>
      <w:r w:rsidR="009F5DE3" w:rsidRPr="00110644">
        <w:rPr>
          <w:rFonts w:asciiTheme="minorHAnsi" w:hAnsiTheme="minorHAnsi" w:cstheme="minorHAnsi"/>
        </w:rPr>
        <w:t>prihoda</w:t>
      </w:r>
      <w:r w:rsidR="00847EFA">
        <w:rPr>
          <w:rFonts w:asciiTheme="minorHAnsi" w:hAnsiTheme="minorHAnsi" w:cstheme="minorHAnsi"/>
        </w:rPr>
        <w:t xml:space="preserve"> i primitaka NZHMGZ u </w:t>
      </w:r>
      <w:r w:rsidR="00DD10A5">
        <w:rPr>
          <w:rFonts w:asciiTheme="minorHAnsi" w:hAnsiTheme="minorHAnsi" w:cstheme="minorHAnsi"/>
        </w:rPr>
        <w:t xml:space="preserve">2023. </w:t>
      </w:r>
      <w:r w:rsidRPr="00110644">
        <w:rPr>
          <w:rFonts w:asciiTheme="minorHAnsi" w:hAnsiTheme="minorHAnsi" w:cstheme="minorHAnsi"/>
        </w:rPr>
        <w:t xml:space="preserve"> </w:t>
      </w:r>
      <w:bookmarkEnd w:id="4"/>
    </w:p>
    <w:p w14:paraId="528CE8C9" w14:textId="4E3722DA" w:rsidR="00EF2CEB" w:rsidRPr="00110644" w:rsidRDefault="00DD10A5" w:rsidP="00847EFA">
      <w:pPr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DD10A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440F524" wp14:editId="0AFF2044">
            <wp:extent cx="4458310" cy="233249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6971" cy="234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D468F" w14:textId="73D55620" w:rsidR="00F1619B" w:rsidRPr="00110644" w:rsidRDefault="00F1619B">
      <w:pPr>
        <w:spacing w:after="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75E4210" w14:textId="639F8F14" w:rsidR="00757BD1" w:rsidRPr="00110644" w:rsidRDefault="00FF0B47" w:rsidP="00C274EF">
      <w:pPr>
        <w:ind w:firstLine="0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>Na dan 31. prosinca 202</w:t>
      </w:r>
      <w:r w:rsidR="00F1619B" w:rsidRPr="00110644">
        <w:rPr>
          <w:rFonts w:asciiTheme="minorHAnsi" w:hAnsiTheme="minorHAnsi" w:cstheme="minorHAnsi"/>
          <w:sz w:val="22"/>
          <w:szCs w:val="22"/>
        </w:rPr>
        <w:t>3</w:t>
      </w:r>
      <w:r w:rsidR="00C274EF" w:rsidRPr="00110644">
        <w:rPr>
          <w:rFonts w:asciiTheme="minorHAnsi" w:hAnsiTheme="minorHAnsi" w:cstheme="minorHAnsi"/>
          <w:sz w:val="22"/>
          <w:szCs w:val="22"/>
        </w:rPr>
        <w:t>. obračunato</w:t>
      </w:r>
      <w:r w:rsidR="00757BD1" w:rsidRPr="00110644">
        <w:rPr>
          <w:rFonts w:asciiTheme="minorHAnsi" w:hAnsiTheme="minorHAnsi" w:cstheme="minorHAnsi"/>
          <w:sz w:val="22"/>
          <w:szCs w:val="22"/>
        </w:rPr>
        <w:t xml:space="preserve"> je i čeka na naplatu </w:t>
      </w:r>
      <w:r w:rsidR="002D2D2E" w:rsidRPr="00110644">
        <w:rPr>
          <w:rFonts w:asciiTheme="minorHAnsi" w:hAnsiTheme="minorHAnsi" w:cstheme="minorHAnsi"/>
          <w:sz w:val="22"/>
          <w:szCs w:val="22"/>
        </w:rPr>
        <w:t>1.388.620,78 eur</w:t>
      </w:r>
      <w:r w:rsidR="00757BD1" w:rsidRPr="00110644">
        <w:rPr>
          <w:rFonts w:asciiTheme="minorHAnsi" w:hAnsiTheme="minorHAnsi" w:cstheme="minorHAnsi"/>
          <w:sz w:val="22"/>
          <w:szCs w:val="22"/>
        </w:rPr>
        <w:t xml:space="preserve"> potraživanja, od čega je </w:t>
      </w:r>
      <w:r w:rsidR="00C250B2" w:rsidRPr="00110644">
        <w:rPr>
          <w:rFonts w:asciiTheme="minorHAnsi" w:hAnsiTheme="minorHAnsi" w:cstheme="minorHAnsi"/>
          <w:sz w:val="22"/>
          <w:szCs w:val="22"/>
        </w:rPr>
        <w:t>svega</w:t>
      </w:r>
      <w:r w:rsidR="00757BD1" w:rsidRPr="00110644">
        <w:rPr>
          <w:rFonts w:asciiTheme="minorHAnsi" w:hAnsiTheme="minorHAnsi" w:cstheme="minorHAnsi"/>
          <w:sz w:val="22"/>
          <w:szCs w:val="22"/>
        </w:rPr>
        <w:t xml:space="preserve"> 62.854,29 eur (4,53%) dospjelo na naplatu.</w:t>
      </w:r>
    </w:p>
    <w:p w14:paraId="2653CADC" w14:textId="0CCCD4C1" w:rsidR="00410387" w:rsidRPr="00110644" w:rsidRDefault="00410387" w:rsidP="00410387">
      <w:pPr>
        <w:pStyle w:val="NoSpacing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10644">
        <w:rPr>
          <w:rFonts w:asciiTheme="minorHAnsi" w:hAnsiTheme="minorHAnsi" w:cstheme="minorHAnsi"/>
          <w:i/>
          <w:sz w:val="20"/>
          <w:szCs w:val="20"/>
        </w:rPr>
        <w:t xml:space="preserve">Tablica </w:t>
      </w:r>
      <w:r w:rsidRPr="00110644">
        <w:rPr>
          <w:rFonts w:asciiTheme="minorHAnsi" w:hAnsiTheme="minorHAnsi" w:cstheme="minorHAnsi"/>
          <w:i/>
          <w:sz w:val="20"/>
          <w:szCs w:val="20"/>
        </w:rPr>
        <w:fldChar w:fldCharType="begin"/>
      </w:r>
      <w:r w:rsidRPr="00110644">
        <w:rPr>
          <w:rFonts w:asciiTheme="minorHAnsi" w:hAnsiTheme="minorHAnsi" w:cstheme="minorHAnsi"/>
          <w:i/>
          <w:sz w:val="20"/>
          <w:szCs w:val="20"/>
        </w:rPr>
        <w:instrText xml:space="preserve"> SEQ Tablica \* ARABIC </w:instrText>
      </w:r>
      <w:r w:rsidRPr="00110644">
        <w:rPr>
          <w:rFonts w:asciiTheme="minorHAnsi" w:hAnsiTheme="minorHAnsi" w:cstheme="minorHAnsi"/>
          <w:i/>
          <w:sz w:val="20"/>
          <w:szCs w:val="20"/>
        </w:rPr>
        <w:fldChar w:fldCharType="separate"/>
      </w:r>
      <w:r w:rsidR="00261536">
        <w:rPr>
          <w:rFonts w:asciiTheme="minorHAnsi" w:hAnsiTheme="minorHAnsi" w:cstheme="minorHAnsi"/>
          <w:i/>
          <w:noProof/>
          <w:sz w:val="20"/>
          <w:szCs w:val="20"/>
        </w:rPr>
        <w:t>3</w:t>
      </w:r>
      <w:r w:rsidRPr="00110644">
        <w:rPr>
          <w:rFonts w:asciiTheme="minorHAnsi" w:hAnsiTheme="minorHAnsi" w:cstheme="minorHAnsi"/>
          <w:i/>
          <w:sz w:val="20"/>
          <w:szCs w:val="20"/>
        </w:rPr>
        <w:fldChar w:fldCharType="end"/>
      </w:r>
      <w:r w:rsidRPr="00110644">
        <w:rPr>
          <w:rFonts w:asciiTheme="minorHAnsi" w:hAnsiTheme="minorHAnsi" w:cstheme="minorHAnsi"/>
          <w:i/>
          <w:sz w:val="20"/>
          <w:szCs w:val="20"/>
        </w:rPr>
        <w:t>: Podaci o potraživanjima na dan 31.12 2023.</w:t>
      </w:r>
      <w:r w:rsidR="002B5EAB">
        <w:rPr>
          <w:rFonts w:asciiTheme="minorHAnsi" w:hAnsiTheme="minorHAnsi" w:cstheme="minorHAnsi"/>
          <w:i/>
          <w:sz w:val="20"/>
          <w:szCs w:val="20"/>
        </w:rPr>
        <w:t xml:space="preserve"> (u EUR)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5780"/>
        <w:gridCol w:w="1440"/>
        <w:gridCol w:w="1220"/>
        <w:gridCol w:w="1240"/>
      </w:tblGrid>
      <w:tr w:rsidR="00410387" w:rsidRPr="00110644" w14:paraId="592D1CA7" w14:textId="77777777" w:rsidTr="00DF3EEA">
        <w:trPr>
          <w:trHeight w:val="585"/>
        </w:trPr>
        <w:tc>
          <w:tcPr>
            <w:tcW w:w="5780" w:type="dxa"/>
            <w:tcBorders>
              <w:top w:val="single" w:sz="4" w:space="0" w:color="305496"/>
              <w:left w:val="nil"/>
              <w:bottom w:val="single" w:sz="4" w:space="0" w:color="D9E1F2"/>
              <w:right w:val="nil"/>
            </w:tcBorders>
            <w:shd w:val="clear" w:color="305496" w:fill="305496"/>
            <w:noWrap/>
            <w:vAlign w:val="center"/>
            <w:hideMark/>
          </w:tcPr>
          <w:p w14:paraId="6CEC891F" w14:textId="77777777" w:rsidR="00410387" w:rsidRPr="00110644" w:rsidRDefault="00410387" w:rsidP="00DF3EE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Kupac</w:t>
            </w:r>
          </w:p>
        </w:tc>
        <w:tc>
          <w:tcPr>
            <w:tcW w:w="1440" w:type="dxa"/>
            <w:tcBorders>
              <w:top w:val="single" w:sz="4" w:space="0" w:color="305496"/>
              <w:left w:val="nil"/>
              <w:bottom w:val="single" w:sz="4" w:space="0" w:color="D9E1F2"/>
              <w:right w:val="nil"/>
            </w:tcBorders>
            <w:shd w:val="clear" w:color="305496" w:fill="305496"/>
            <w:vAlign w:val="center"/>
            <w:hideMark/>
          </w:tcPr>
          <w:p w14:paraId="49554AFE" w14:textId="77777777" w:rsidR="00410387" w:rsidRPr="00110644" w:rsidRDefault="00410387" w:rsidP="00DF3EEA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Ukupno potraživanje</w:t>
            </w:r>
          </w:p>
        </w:tc>
        <w:tc>
          <w:tcPr>
            <w:tcW w:w="1220" w:type="dxa"/>
            <w:tcBorders>
              <w:top w:val="single" w:sz="4" w:space="0" w:color="305496"/>
              <w:left w:val="single" w:sz="4" w:space="0" w:color="305496"/>
              <w:bottom w:val="single" w:sz="4" w:space="0" w:color="D9E1F2"/>
              <w:right w:val="nil"/>
            </w:tcBorders>
            <w:shd w:val="clear" w:color="305496" w:fill="305496"/>
            <w:vAlign w:val="center"/>
            <w:hideMark/>
          </w:tcPr>
          <w:p w14:paraId="682ADF4B" w14:textId="77777777" w:rsidR="00410387" w:rsidRPr="00110644" w:rsidRDefault="00410387" w:rsidP="00DF3EEA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Dospjelo</w:t>
            </w:r>
            <w:r w:rsidRPr="00110644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br/>
              <w:t>&lt; 90 dana</w:t>
            </w:r>
          </w:p>
        </w:tc>
        <w:tc>
          <w:tcPr>
            <w:tcW w:w="1240" w:type="dxa"/>
            <w:tcBorders>
              <w:top w:val="single" w:sz="4" w:space="0" w:color="305496"/>
              <w:left w:val="nil"/>
              <w:bottom w:val="single" w:sz="4" w:space="0" w:color="D9E1F2"/>
              <w:right w:val="nil"/>
            </w:tcBorders>
            <w:shd w:val="clear" w:color="305496" w:fill="305496"/>
            <w:vAlign w:val="center"/>
            <w:hideMark/>
          </w:tcPr>
          <w:p w14:paraId="4FC52519" w14:textId="77777777" w:rsidR="00410387" w:rsidRPr="00110644" w:rsidRDefault="00410387" w:rsidP="00DF3EEA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Dospjelo</w:t>
            </w:r>
            <w:r w:rsidRPr="00110644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br/>
              <w:t>&gt; 90 dana</w:t>
            </w:r>
          </w:p>
        </w:tc>
      </w:tr>
      <w:tr w:rsidR="00410387" w:rsidRPr="00110644" w14:paraId="5D9CCB19" w14:textId="77777777" w:rsidTr="00DF3EEA">
        <w:trPr>
          <w:trHeight w:val="300"/>
        </w:trPr>
        <w:tc>
          <w:tcPr>
            <w:tcW w:w="5780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D9E1F2" w:fill="D9E1F2"/>
            <w:noWrap/>
            <w:vAlign w:val="bottom"/>
            <w:hideMark/>
          </w:tcPr>
          <w:p w14:paraId="32B11413" w14:textId="77777777" w:rsidR="00410387" w:rsidRPr="00110644" w:rsidRDefault="00410387" w:rsidP="00DF3EE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HZZO (167)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D9E1F2" w:fill="D9E1F2"/>
            <w:noWrap/>
            <w:vAlign w:val="bottom"/>
            <w:hideMark/>
          </w:tcPr>
          <w:p w14:paraId="4E5BFBD6" w14:textId="77777777" w:rsidR="00410387" w:rsidRPr="00110644" w:rsidRDefault="00410387" w:rsidP="00DF3EE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sz w:val="22"/>
                <w:szCs w:val="22"/>
              </w:rPr>
              <w:t>1.299.010</w:t>
            </w:r>
          </w:p>
        </w:tc>
        <w:tc>
          <w:tcPr>
            <w:tcW w:w="1220" w:type="dxa"/>
            <w:tcBorders>
              <w:top w:val="nil"/>
              <w:left w:val="single" w:sz="4" w:space="0" w:color="305496"/>
              <w:bottom w:val="single" w:sz="4" w:space="0" w:color="2F75B5"/>
              <w:right w:val="nil"/>
            </w:tcBorders>
            <w:shd w:val="clear" w:color="D9E1F2" w:fill="D9E1F2"/>
            <w:noWrap/>
            <w:vAlign w:val="bottom"/>
            <w:hideMark/>
          </w:tcPr>
          <w:p w14:paraId="39D91FE7" w14:textId="77777777" w:rsidR="00410387" w:rsidRPr="00110644" w:rsidRDefault="00410387" w:rsidP="00DF3EE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sz w:val="22"/>
                <w:szCs w:val="22"/>
              </w:rPr>
              <w:t>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D9E1F2" w:fill="D9E1F2"/>
            <w:noWrap/>
            <w:vAlign w:val="bottom"/>
            <w:hideMark/>
          </w:tcPr>
          <w:p w14:paraId="59A9AE9E" w14:textId="77777777" w:rsidR="00410387" w:rsidRPr="00110644" w:rsidRDefault="00410387" w:rsidP="00DF3EE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10387" w:rsidRPr="00110644" w14:paraId="10CC4C2C" w14:textId="77777777" w:rsidTr="00DF3EEA">
        <w:trPr>
          <w:trHeight w:val="300"/>
        </w:trPr>
        <w:tc>
          <w:tcPr>
            <w:tcW w:w="578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000000" w:fill="FFFFFF"/>
            <w:noWrap/>
            <w:vAlign w:val="bottom"/>
            <w:hideMark/>
          </w:tcPr>
          <w:p w14:paraId="632866E8" w14:textId="77777777" w:rsidR="00410387" w:rsidRPr="00110644" w:rsidRDefault="00410387" w:rsidP="00DF3EEA">
            <w:pPr>
              <w:spacing w:after="0" w:line="240" w:lineRule="auto"/>
              <w:ind w:firstLineChars="200" w:firstLine="44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mjesečna naknada po Ugovoru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000000" w:fill="FFFFFF"/>
            <w:noWrap/>
            <w:vAlign w:val="bottom"/>
            <w:hideMark/>
          </w:tcPr>
          <w:p w14:paraId="2000B08B" w14:textId="77777777" w:rsidR="00410387" w:rsidRPr="00110644" w:rsidRDefault="00410387" w:rsidP="00DF3EE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sz w:val="22"/>
                <w:szCs w:val="22"/>
              </w:rPr>
              <w:t>1.204.084</w:t>
            </w:r>
          </w:p>
        </w:tc>
        <w:tc>
          <w:tcPr>
            <w:tcW w:w="1220" w:type="dxa"/>
            <w:tcBorders>
              <w:top w:val="nil"/>
              <w:left w:val="single" w:sz="4" w:space="0" w:color="305496"/>
              <w:bottom w:val="single" w:sz="4" w:space="0" w:color="D9E1F2"/>
              <w:right w:val="nil"/>
            </w:tcBorders>
            <w:shd w:val="clear" w:color="000000" w:fill="FFFFFF"/>
            <w:noWrap/>
            <w:vAlign w:val="bottom"/>
            <w:hideMark/>
          </w:tcPr>
          <w:p w14:paraId="55818B4D" w14:textId="77777777" w:rsidR="00410387" w:rsidRPr="00110644" w:rsidRDefault="00410387" w:rsidP="00DF3EE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000000" w:fill="FFFFFF"/>
            <w:noWrap/>
            <w:vAlign w:val="bottom"/>
            <w:hideMark/>
          </w:tcPr>
          <w:p w14:paraId="65C9FBC3" w14:textId="77777777" w:rsidR="00410387" w:rsidRPr="00110644" w:rsidRDefault="00410387" w:rsidP="00DF3EE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10387" w:rsidRPr="00110644" w14:paraId="54E121FE" w14:textId="77777777" w:rsidTr="00DF3EEA">
        <w:trPr>
          <w:trHeight w:val="300"/>
        </w:trPr>
        <w:tc>
          <w:tcPr>
            <w:tcW w:w="578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000000" w:fill="FFFFFF"/>
            <w:noWrap/>
            <w:vAlign w:val="bottom"/>
            <w:hideMark/>
          </w:tcPr>
          <w:p w14:paraId="0892EFC8" w14:textId="77777777" w:rsidR="00410387" w:rsidRPr="00110644" w:rsidRDefault="00410387" w:rsidP="00DF3EEA">
            <w:pPr>
              <w:spacing w:after="0" w:line="240" w:lineRule="auto"/>
              <w:ind w:firstLineChars="200" w:firstLine="44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gorivo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000000" w:fill="FFFFFF"/>
            <w:noWrap/>
            <w:vAlign w:val="bottom"/>
            <w:hideMark/>
          </w:tcPr>
          <w:p w14:paraId="08057D30" w14:textId="77777777" w:rsidR="00410387" w:rsidRPr="00110644" w:rsidRDefault="00410387" w:rsidP="00DF3EE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sz w:val="22"/>
                <w:szCs w:val="22"/>
              </w:rPr>
              <w:t>87.770</w:t>
            </w:r>
          </w:p>
        </w:tc>
        <w:tc>
          <w:tcPr>
            <w:tcW w:w="1220" w:type="dxa"/>
            <w:tcBorders>
              <w:top w:val="nil"/>
              <w:left w:val="single" w:sz="4" w:space="0" w:color="305496"/>
              <w:bottom w:val="single" w:sz="4" w:space="0" w:color="D9E1F2"/>
              <w:right w:val="nil"/>
            </w:tcBorders>
            <w:shd w:val="clear" w:color="000000" w:fill="FFFFFF"/>
            <w:noWrap/>
            <w:vAlign w:val="bottom"/>
            <w:hideMark/>
          </w:tcPr>
          <w:p w14:paraId="55A05063" w14:textId="77777777" w:rsidR="00410387" w:rsidRPr="00110644" w:rsidRDefault="00410387" w:rsidP="00DF3EE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000000" w:fill="FFFFFF"/>
            <w:noWrap/>
            <w:vAlign w:val="bottom"/>
            <w:hideMark/>
          </w:tcPr>
          <w:p w14:paraId="0238B76A" w14:textId="77777777" w:rsidR="00410387" w:rsidRPr="00110644" w:rsidRDefault="00410387" w:rsidP="00DF3EE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10387" w:rsidRPr="00110644" w14:paraId="68AB4050" w14:textId="77777777" w:rsidTr="00DF3EEA">
        <w:trPr>
          <w:trHeight w:val="300"/>
        </w:trPr>
        <w:tc>
          <w:tcPr>
            <w:tcW w:w="578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000000" w:fill="FFFFFF"/>
            <w:noWrap/>
            <w:vAlign w:val="bottom"/>
            <w:hideMark/>
          </w:tcPr>
          <w:p w14:paraId="5BE1E7DD" w14:textId="77777777" w:rsidR="00410387" w:rsidRPr="00110644" w:rsidRDefault="00410387" w:rsidP="00DF3EEA">
            <w:pPr>
              <w:spacing w:after="0" w:line="240" w:lineRule="auto"/>
              <w:ind w:firstLineChars="200" w:firstLine="44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ostale naknade po Ugovoru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000000" w:fill="FFFFFF"/>
            <w:noWrap/>
            <w:vAlign w:val="bottom"/>
            <w:hideMark/>
          </w:tcPr>
          <w:p w14:paraId="0488EAEC" w14:textId="77777777" w:rsidR="00410387" w:rsidRPr="00110644" w:rsidRDefault="00410387" w:rsidP="00DF3EE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sz w:val="22"/>
                <w:szCs w:val="22"/>
              </w:rPr>
              <w:t>7.157</w:t>
            </w:r>
          </w:p>
        </w:tc>
        <w:tc>
          <w:tcPr>
            <w:tcW w:w="1220" w:type="dxa"/>
            <w:tcBorders>
              <w:top w:val="nil"/>
              <w:left w:val="single" w:sz="4" w:space="0" w:color="305496"/>
              <w:bottom w:val="single" w:sz="4" w:space="0" w:color="D9E1F2"/>
              <w:right w:val="nil"/>
            </w:tcBorders>
            <w:shd w:val="clear" w:color="000000" w:fill="FFFFFF"/>
            <w:noWrap/>
            <w:vAlign w:val="bottom"/>
            <w:hideMark/>
          </w:tcPr>
          <w:p w14:paraId="13A906DA" w14:textId="77777777" w:rsidR="00410387" w:rsidRPr="00110644" w:rsidRDefault="00410387" w:rsidP="00DF3EE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sz w:val="22"/>
                <w:szCs w:val="22"/>
              </w:rPr>
              <w:t>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000000" w:fill="FFFFFF"/>
            <w:noWrap/>
            <w:vAlign w:val="bottom"/>
            <w:hideMark/>
          </w:tcPr>
          <w:p w14:paraId="567885A0" w14:textId="77777777" w:rsidR="00410387" w:rsidRPr="00110644" w:rsidRDefault="00410387" w:rsidP="00DF3EE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10387" w:rsidRPr="00110644" w14:paraId="03A204EA" w14:textId="77777777" w:rsidTr="00DF3EEA">
        <w:trPr>
          <w:trHeight w:val="300"/>
        </w:trPr>
        <w:tc>
          <w:tcPr>
            <w:tcW w:w="5780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D9E1F2" w:fill="D9E1F2"/>
            <w:noWrap/>
            <w:vAlign w:val="bottom"/>
            <w:hideMark/>
          </w:tcPr>
          <w:p w14:paraId="0CCF1A34" w14:textId="77777777" w:rsidR="00410387" w:rsidRPr="00110644" w:rsidRDefault="00410387" w:rsidP="00DF3EE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POTRAŽIVANJE TEMELJEM PRIJENOSA EU SREDSTAVA (163)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D9E1F2" w:fill="D9E1F2"/>
            <w:noWrap/>
            <w:vAlign w:val="bottom"/>
            <w:hideMark/>
          </w:tcPr>
          <w:p w14:paraId="002CE7E7" w14:textId="77777777" w:rsidR="00410387" w:rsidRPr="00110644" w:rsidRDefault="00410387" w:rsidP="00DF3EE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sz w:val="22"/>
                <w:szCs w:val="22"/>
              </w:rPr>
              <w:t>10.000</w:t>
            </w:r>
          </w:p>
        </w:tc>
        <w:tc>
          <w:tcPr>
            <w:tcW w:w="1220" w:type="dxa"/>
            <w:tcBorders>
              <w:top w:val="nil"/>
              <w:left w:val="single" w:sz="4" w:space="0" w:color="305496"/>
              <w:bottom w:val="single" w:sz="4" w:space="0" w:color="2F75B5"/>
              <w:right w:val="nil"/>
            </w:tcBorders>
            <w:shd w:val="clear" w:color="D9E1F2" w:fill="D9E1F2"/>
            <w:noWrap/>
            <w:vAlign w:val="bottom"/>
            <w:hideMark/>
          </w:tcPr>
          <w:p w14:paraId="55C9466F" w14:textId="77777777" w:rsidR="00410387" w:rsidRPr="00110644" w:rsidRDefault="00410387" w:rsidP="00DF3EE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D9E1F2" w:fill="D9E1F2"/>
            <w:noWrap/>
            <w:vAlign w:val="bottom"/>
            <w:hideMark/>
          </w:tcPr>
          <w:p w14:paraId="259FEF09" w14:textId="77777777" w:rsidR="00410387" w:rsidRPr="00110644" w:rsidRDefault="00410387" w:rsidP="00DF3EE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10387" w:rsidRPr="00110644" w14:paraId="61C26850" w14:textId="77777777" w:rsidTr="00DF3EEA">
        <w:trPr>
          <w:trHeight w:val="300"/>
        </w:trPr>
        <w:tc>
          <w:tcPr>
            <w:tcW w:w="5780" w:type="dxa"/>
            <w:tcBorders>
              <w:top w:val="single" w:sz="4" w:space="0" w:color="D9E1F2"/>
              <w:left w:val="nil"/>
              <w:bottom w:val="single" w:sz="4" w:space="0" w:color="2F75B5"/>
              <w:right w:val="nil"/>
            </w:tcBorders>
            <w:shd w:val="clear" w:color="D9E1F2" w:fill="D9E1F2"/>
            <w:noWrap/>
            <w:vAlign w:val="bottom"/>
            <w:hideMark/>
          </w:tcPr>
          <w:p w14:paraId="79A333E9" w14:textId="77777777" w:rsidR="00410387" w:rsidRPr="00110644" w:rsidRDefault="00410387" w:rsidP="00DF3EE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POTRAŽIVANJA ZA PRUŽENE USLUGE (166)</w:t>
            </w:r>
          </w:p>
        </w:tc>
        <w:tc>
          <w:tcPr>
            <w:tcW w:w="1440" w:type="dxa"/>
            <w:tcBorders>
              <w:top w:val="single" w:sz="4" w:space="0" w:color="D9E1F2"/>
              <w:left w:val="nil"/>
              <w:bottom w:val="single" w:sz="4" w:space="0" w:color="2F75B5"/>
              <w:right w:val="nil"/>
            </w:tcBorders>
            <w:shd w:val="clear" w:color="D9E1F2" w:fill="D9E1F2"/>
            <w:noWrap/>
            <w:vAlign w:val="bottom"/>
            <w:hideMark/>
          </w:tcPr>
          <w:p w14:paraId="050B669D" w14:textId="77777777" w:rsidR="00410387" w:rsidRPr="00110644" w:rsidRDefault="00410387" w:rsidP="00DF3EE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sz w:val="22"/>
                <w:szCs w:val="22"/>
              </w:rPr>
              <w:t>33.204</w:t>
            </w:r>
          </w:p>
        </w:tc>
        <w:tc>
          <w:tcPr>
            <w:tcW w:w="1220" w:type="dxa"/>
            <w:tcBorders>
              <w:top w:val="single" w:sz="4" w:space="0" w:color="D9E1F2"/>
              <w:left w:val="single" w:sz="4" w:space="0" w:color="305496"/>
              <w:bottom w:val="single" w:sz="4" w:space="0" w:color="2F75B5"/>
              <w:right w:val="nil"/>
            </w:tcBorders>
            <w:shd w:val="clear" w:color="D9E1F2" w:fill="D9E1F2"/>
            <w:noWrap/>
            <w:vAlign w:val="bottom"/>
            <w:hideMark/>
          </w:tcPr>
          <w:p w14:paraId="216C36FB" w14:textId="77777777" w:rsidR="00410387" w:rsidRPr="00110644" w:rsidRDefault="00410387" w:rsidP="00DF3EE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sz w:val="22"/>
                <w:szCs w:val="22"/>
              </w:rPr>
              <w:t>15.761</w:t>
            </w:r>
          </w:p>
        </w:tc>
        <w:tc>
          <w:tcPr>
            <w:tcW w:w="1240" w:type="dxa"/>
            <w:tcBorders>
              <w:top w:val="single" w:sz="4" w:space="0" w:color="D9E1F2"/>
              <w:left w:val="nil"/>
              <w:bottom w:val="single" w:sz="4" w:space="0" w:color="2F75B5"/>
              <w:right w:val="nil"/>
            </w:tcBorders>
            <w:shd w:val="clear" w:color="D9E1F2" w:fill="D9E1F2"/>
            <w:noWrap/>
            <w:vAlign w:val="bottom"/>
            <w:hideMark/>
          </w:tcPr>
          <w:p w14:paraId="4F85F986" w14:textId="77777777" w:rsidR="00410387" w:rsidRPr="00110644" w:rsidRDefault="00410387" w:rsidP="00DF3EE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sz w:val="22"/>
                <w:szCs w:val="22"/>
              </w:rPr>
              <w:t>914</w:t>
            </w:r>
          </w:p>
        </w:tc>
      </w:tr>
      <w:tr w:rsidR="00410387" w:rsidRPr="00110644" w14:paraId="10A4E70A" w14:textId="77777777" w:rsidTr="00DF3EEA">
        <w:trPr>
          <w:trHeight w:val="300"/>
        </w:trPr>
        <w:tc>
          <w:tcPr>
            <w:tcW w:w="578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000000" w:fill="FFFFFF"/>
            <w:noWrap/>
            <w:vAlign w:val="bottom"/>
            <w:hideMark/>
          </w:tcPr>
          <w:p w14:paraId="7A28AEB5" w14:textId="77777777" w:rsidR="00410387" w:rsidRPr="00110644" w:rsidRDefault="00410387" w:rsidP="00DF3EEA">
            <w:pPr>
              <w:spacing w:after="0" w:line="240" w:lineRule="auto"/>
              <w:ind w:firstLineChars="200" w:firstLine="44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potraživanja za usluge dežurstva</w:t>
            </w:r>
          </w:p>
        </w:tc>
        <w:tc>
          <w:tcPr>
            <w:tcW w:w="144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000000" w:fill="FFFFFF"/>
            <w:noWrap/>
            <w:vAlign w:val="bottom"/>
            <w:hideMark/>
          </w:tcPr>
          <w:p w14:paraId="05C35A4E" w14:textId="77777777" w:rsidR="00410387" w:rsidRPr="00110644" w:rsidRDefault="00410387" w:rsidP="00DF3EE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sz w:val="22"/>
                <w:szCs w:val="22"/>
              </w:rPr>
              <w:t>892</w:t>
            </w:r>
          </w:p>
        </w:tc>
        <w:tc>
          <w:tcPr>
            <w:tcW w:w="1220" w:type="dxa"/>
            <w:tcBorders>
              <w:top w:val="single" w:sz="4" w:space="0" w:color="D9E1F2"/>
              <w:left w:val="single" w:sz="4" w:space="0" w:color="305496"/>
              <w:bottom w:val="single" w:sz="4" w:space="0" w:color="D9E1F2"/>
              <w:right w:val="nil"/>
            </w:tcBorders>
            <w:shd w:val="clear" w:color="000000" w:fill="FFFFFF"/>
            <w:noWrap/>
            <w:vAlign w:val="bottom"/>
            <w:hideMark/>
          </w:tcPr>
          <w:p w14:paraId="326C2240" w14:textId="77777777" w:rsidR="00410387" w:rsidRPr="00110644" w:rsidRDefault="00410387" w:rsidP="00DF3EE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000000" w:fill="FFFFFF"/>
            <w:noWrap/>
            <w:vAlign w:val="bottom"/>
            <w:hideMark/>
          </w:tcPr>
          <w:p w14:paraId="796AC8C3" w14:textId="77777777" w:rsidR="00410387" w:rsidRPr="00110644" w:rsidRDefault="00410387" w:rsidP="00DF3EE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10387" w:rsidRPr="00110644" w14:paraId="42542013" w14:textId="77777777" w:rsidTr="00DF3EEA">
        <w:trPr>
          <w:trHeight w:val="300"/>
        </w:trPr>
        <w:tc>
          <w:tcPr>
            <w:tcW w:w="578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000000" w:fill="FFFFFF"/>
            <w:noWrap/>
            <w:vAlign w:val="bottom"/>
            <w:hideMark/>
          </w:tcPr>
          <w:p w14:paraId="21402A66" w14:textId="77777777" w:rsidR="00410387" w:rsidRPr="00110644" w:rsidRDefault="00410387" w:rsidP="00DF3EEA">
            <w:pPr>
              <w:spacing w:after="0" w:line="240" w:lineRule="auto"/>
              <w:ind w:firstLineChars="200" w:firstLine="44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potraživanja od pruženih usluga MUP-u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000000" w:fill="FFFFFF"/>
            <w:noWrap/>
            <w:vAlign w:val="bottom"/>
            <w:hideMark/>
          </w:tcPr>
          <w:p w14:paraId="35A754A3" w14:textId="77777777" w:rsidR="00410387" w:rsidRPr="00110644" w:rsidRDefault="00410387" w:rsidP="00DF3EE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sz w:val="22"/>
                <w:szCs w:val="22"/>
              </w:rPr>
              <w:t>24.370</w:t>
            </w:r>
          </w:p>
        </w:tc>
        <w:tc>
          <w:tcPr>
            <w:tcW w:w="1220" w:type="dxa"/>
            <w:tcBorders>
              <w:top w:val="nil"/>
              <w:left w:val="single" w:sz="4" w:space="0" w:color="305496"/>
              <w:bottom w:val="single" w:sz="4" w:space="0" w:color="D9E1F2"/>
              <w:right w:val="nil"/>
            </w:tcBorders>
            <w:shd w:val="clear" w:color="000000" w:fill="FFFFFF"/>
            <w:noWrap/>
            <w:vAlign w:val="bottom"/>
            <w:hideMark/>
          </w:tcPr>
          <w:p w14:paraId="6F66B2ED" w14:textId="77777777" w:rsidR="00410387" w:rsidRPr="00110644" w:rsidRDefault="00410387" w:rsidP="00DF3EE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sz w:val="22"/>
                <w:szCs w:val="22"/>
              </w:rPr>
              <w:t>14.526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000000" w:fill="FFFFFF"/>
            <w:noWrap/>
            <w:vAlign w:val="bottom"/>
            <w:hideMark/>
          </w:tcPr>
          <w:p w14:paraId="51EB1366" w14:textId="77777777" w:rsidR="00410387" w:rsidRPr="00110644" w:rsidRDefault="00410387" w:rsidP="00DF3EE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sz w:val="22"/>
                <w:szCs w:val="22"/>
              </w:rPr>
              <w:t>506</w:t>
            </w:r>
          </w:p>
        </w:tc>
      </w:tr>
      <w:tr w:rsidR="00410387" w:rsidRPr="00110644" w14:paraId="1150A665" w14:textId="77777777" w:rsidTr="00DF3EEA">
        <w:trPr>
          <w:trHeight w:val="300"/>
        </w:trPr>
        <w:tc>
          <w:tcPr>
            <w:tcW w:w="578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000000" w:fill="FFFFFF"/>
            <w:noWrap/>
            <w:vAlign w:val="bottom"/>
            <w:hideMark/>
          </w:tcPr>
          <w:p w14:paraId="305F4196" w14:textId="77777777" w:rsidR="00410387" w:rsidRPr="00110644" w:rsidRDefault="00410387" w:rsidP="00DF3EEA">
            <w:pPr>
              <w:spacing w:after="0" w:line="240" w:lineRule="auto"/>
              <w:ind w:firstLineChars="200" w:firstLine="44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potraživanja za zakup prostora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000000" w:fill="FFFFFF"/>
            <w:noWrap/>
            <w:vAlign w:val="bottom"/>
            <w:hideMark/>
          </w:tcPr>
          <w:p w14:paraId="5163D24F" w14:textId="77777777" w:rsidR="00410387" w:rsidRPr="00110644" w:rsidRDefault="00410387" w:rsidP="00DF3EE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sz w:val="22"/>
                <w:szCs w:val="22"/>
              </w:rPr>
              <w:t>2.736</w:t>
            </w:r>
          </w:p>
        </w:tc>
        <w:tc>
          <w:tcPr>
            <w:tcW w:w="1220" w:type="dxa"/>
            <w:tcBorders>
              <w:top w:val="nil"/>
              <w:left w:val="single" w:sz="4" w:space="0" w:color="305496"/>
              <w:bottom w:val="single" w:sz="4" w:space="0" w:color="D9E1F2"/>
              <w:right w:val="nil"/>
            </w:tcBorders>
            <w:shd w:val="clear" w:color="000000" w:fill="FFFFFF"/>
            <w:noWrap/>
            <w:vAlign w:val="bottom"/>
            <w:hideMark/>
          </w:tcPr>
          <w:p w14:paraId="7D881117" w14:textId="77777777" w:rsidR="00410387" w:rsidRPr="00110644" w:rsidRDefault="00410387" w:rsidP="00DF3EE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sz w:val="22"/>
                <w:szCs w:val="22"/>
              </w:rPr>
              <w:t>1.202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000000" w:fill="FFFFFF"/>
            <w:noWrap/>
            <w:vAlign w:val="bottom"/>
            <w:hideMark/>
          </w:tcPr>
          <w:p w14:paraId="68048AE0" w14:textId="77777777" w:rsidR="00410387" w:rsidRPr="00110644" w:rsidRDefault="00410387" w:rsidP="00DF3EE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10387" w:rsidRPr="00110644" w14:paraId="053CE57E" w14:textId="77777777" w:rsidTr="00DF3EEA">
        <w:trPr>
          <w:trHeight w:val="300"/>
        </w:trPr>
        <w:tc>
          <w:tcPr>
            <w:tcW w:w="578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000000" w:fill="FFFFFF"/>
            <w:noWrap/>
            <w:vAlign w:val="bottom"/>
            <w:hideMark/>
          </w:tcPr>
          <w:p w14:paraId="5E0C1D33" w14:textId="77777777" w:rsidR="00410387" w:rsidRPr="00110644" w:rsidRDefault="00410387" w:rsidP="00DF3EEA">
            <w:pPr>
              <w:spacing w:after="0" w:line="240" w:lineRule="auto"/>
              <w:ind w:firstLineChars="200" w:firstLine="44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potraživanja za edukacije i od državnog odvjetništva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000000" w:fill="FFFFFF"/>
            <w:noWrap/>
            <w:vAlign w:val="bottom"/>
            <w:hideMark/>
          </w:tcPr>
          <w:p w14:paraId="11C90353" w14:textId="77777777" w:rsidR="00410387" w:rsidRPr="00110644" w:rsidRDefault="00410387" w:rsidP="00DF3EE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sz w:val="22"/>
                <w:szCs w:val="22"/>
              </w:rPr>
              <w:t>5.207</w:t>
            </w:r>
          </w:p>
        </w:tc>
        <w:tc>
          <w:tcPr>
            <w:tcW w:w="1220" w:type="dxa"/>
            <w:tcBorders>
              <w:top w:val="nil"/>
              <w:left w:val="single" w:sz="4" w:space="0" w:color="305496"/>
              <w:bottom w:val="single" w:sz="4" w:space="0" w:color="D9E1F2"/>
              <w:right w:val="nil"/>
            </w:tcBorders>
            <w:shd w:val="clear" w:color="000000" w:fill="FFFFFF"/>
            <w:noWrap/>
            <w:vAlign w:val="bottom"/>
            <w:hideMark/>
          </w:tcPr>
          <w:p w14:paraId="679139CD" w14:textId="77777777" w:rsidR="00410387" w:rsidRPr="00110644" w:rsidRDefault="00410387" w:rsidP="00DF3EE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000000" w:fill="FFFFFF"/>
            <w:noWrap/>
            <w:vAlign w:val="bottom"/>
            <w:hideMark/>
          </w:tcPr>
          <w:p w14:paraId="49636595" w14:textId="77777777" w:rsidR="00410387" w:rsidRPr="00110644" w:rsidRDefault="00410387" w:rsidP="00DF3EE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sz w:val="22"/>
                <w:szCs w:val="22"/>
              </w:rPr>
              <w:t>408</w:t>
            </w:r>
          </w:p>
        </w:tc>
      </w:tr>
      <w:tr w:rsidR="00410387" w:rsidRPr="00110644" w14:paraId="09C53D76" w14:textId="77777777" w:rsidTr="00DF3EEA">
        <w:trPr>
          <w:trHeight w:val="300"/>
        </w:trPr>
        <w:tc>
          <w:tcPr>
            <w:tcW w:w="5780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D9E1F2" w:fill="D9E1F2"/>
            <w:noWrap/>
            <w:vAlign w:val="bottom"/>
            <w:hideMark/>
          </w:tcPr>
          <w:p w14:paraId="0C3CB685" w14:textId="77777777" w:rsidR="00410387" w:rsidRPr="00110644" w:rsidRDefault="00410387" w:rsidP="00DF3EE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OSTALA POTRAŽIVANJA (1652)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D9E1F2" w:fill="D9E1F2"/>
            <w:noWrap/>
            <w:vAlign w:val="bottom"/>
            <w:hideMark/>
          </w:tcPr>
          <w:p w14:paraId="1032B215" w14:textId="77777777" w:rsidR="00410387" w:rsidRPr="00110644" w:rsidRDefault="00410387" w:rsidP="00DF3EE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sz w:val="22"/>
                <w:szCs w:val="22"/>
              </w:rPr>
              <w:t>46.407</w:t>
            </w:r>
          </w:p>
        </w:tc>
        <w:tc>
          <w:tcPr>
            <w:tcW w:w="1220" w:type="dxa"/>
            <w:tcBorders>
              <w:top w:val="nil"/>
              <w:left w:val="single" w:sz="4" w:space="0" w:color="305496"/>
              <w:bottom w:val="single" w:sz="4" w:space="0" w:color="2F75B5"/>
              <w:right w:val="nil"/>
            </w:tcBorders>
            <w:shd w:val="clear" w:color="D9E1F2" w:fill="D9E1F2"/>
            <w:noWrap/>
            <w:vAlign w:val="bottom"/>
            <w:hideMark/>
          </w:tcPr>
          <w:p w14:paraId="03E69817" w14:textId="77777777" w:rsidR="00410387" w:rsidRPr="00110644" w:rsidRDefault="00410387" w:rsidP="00DF3EE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sz w:val="22"/>
                <w:szCs w:val="22"/>
              </w:rPr>
              <w:t>45.997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D9E1F2" w:fill="D9E1F2"/>
            <w:noWrap/>
            <w:vAlign w:val="bottom"/>
            <w:hideMark/>
          </w:tcPr>
          <w:p w14:paraId="40655045" w14:textId="77777777" w:rsidR="00410387" w:rsidRPr="00110644" w:rsidRDefault="00410387" w:rsidP="00DF3EE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10387" w:rsidRPr="00110644" w14:paraId="3639CFFB" w14:textId="77777777" w:rsidTr="00DF3EEA">
        <w:trPr>
          <w:trHeight w:val="300"/>
        </w:trPr>
        <w:tc>
          <w:tcPr>
            <w:tcW w:w="578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000000" w:fill="FFFFFF"/>
            <w:noWrap/>
            <w:vAlign w:val="bottom"/>
            <w:hideMark/>
          </w:tcPr>
          <w:p w14:paraId="6ED39BE6" w14:textId="77777777" w:rsidR="00410387" w:rsidRPr="00110644" w:rsidRDefault="00410387" w:rsidP="00DF3EE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UKUPNO (16)</w:t>
            </w:r>
          </w:p>
        </w:tc>
        <w:tc>
          <w:tcPr>
            <w:tcW w:w="144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000000" w:fill="FFFFFF"/>
            <w:noWrap/>
            <w:vAlign w:val="bottom"/>
            <w:hideMark/>
          </w:tcPr>
          <w:p w14:paraId="4710C40F" w14:textId="77777777" w:rsidR="00410387" w:rsidRPr="00110644" w:rsidRDefault="00410387" w:rsidP="00DF3EE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1.388.621</w:t>
            </w:r>
          </w:p>
        </w:tc>
        <w:tc>
          <w:tcPr>
            <w:tcW w:w="1220" w:type="dxa"/>
            <w:tcBorders>
              <w:top w:val="single" w:sz="4" w:space="0" w:color="D9E1F2"/>
              <w:left w:val="single" w:sz="4" w:space="0" w:color="305496"/>
              <w:bottom w:val="single" w:sz="4" w:space="0" w:color="D9E1F2"/>
              <w:right w:val="nil"/>
            </w:tcBorders>
            <w:shd w:val="clear" w:color="000000" w:fill="FFFFFF"/>
            <w:noWrap/>
            <w:vAlign w:val="bottom"/>
            <w:hideMark/>
          </w:tcPr>
          <w:p w14:paraId="693E56E0" w14:textId="77777777" w:rsidR="00410387" w:rsidRPr="00110644" w:rsidRDefault="00410387" w:rsidP="00DF3EE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61.940</w:t>
            </w:r>
          </w:p>
        </w:tc>
        <w:tc>
          <w:tcPr>
            <w:tcW w:w="124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000000" w:fill="FFFFFF"/>
            <w:noWrap/>
            <w:vAlign w:val="bottom"/>
            <w:hideMark/>
          </w:tcPr>
          <w:p w14:paraId="1797D101" w14:textId="77777777" w:rsidR="00410387" w:rsidRPr="00110644" w:rsidRDefault="00410387" w:rsidP="00DF3EE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914</w:t>
            </w:r>
          </w:p>
        </w:tc>
      </w:tr>
    </w:tbl>
    <w:p w14:paraId="02CB5325" w14:textId="3BFE1E3F" w:rsidR="00C274EF" w:rsidRDefault="00C274EF" w:rsidP="002B5EAB">
      <w:pPr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5B2E2A3B" w14:textId="77777777" w:rsidR="004A029A" w:rsidRDefault="004A029A" w:rsidP="00C274EF">
      <w:pPr>
        <w:ind w:firstLine="0"/>
        <w:rPr>
          <w:rFonts w:asciiTheme="minorHAnsi" w:hAnsiTheme="minorHAnsi" w:cstheme="minorHAnsi"/>
          <w:sz w:val="22"/>
          <w:szCs w:val="22"/>
        </w:rPr>
      </w:pPr>
    </w:p>
    <w:p w14:paraId="1EDB27D0" w14:textId="151711EC" w:rsidR="00410387" w:rsidRPr="00110644" w:rsidRDefault="00410387" w:rsidP="00C274EF">
      <w:p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Odnosno:</w:t>
      </w:r>
    </w:p>
    <w:p w14:paraId="4D416A0A" w14:textId="3EA30F5D" w:rsidR="00C274EF" w:rsidRPr="00110644" w:rsidRDefault="003E18BF" w:rsidP="00C250B2">
      <w:pPr>
        <w:pStyle w:val="BodyTex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 xml:space="preserve">1.299.009,98 </w:t>
      </w:r>
      <w:r w:rsidR="008351BC" w:rsidRPr="00110644">
        <w:rPr>
          <w:rFonts w:asciiTheme="minorHAnsi" w:hAnsiTheme="minorHAnsi" w:cstheme="minorHAnsi"/>
          <w:sz w:val="22"/>
          <w:szCs w:val="22"/>
        </w:rPr>
        <w:t xml:space="preserve">eur </w:t>
      </w:r>
      <w:r w:rsidR="00C274EF" w:rsidRPr="00110644">
        <w:rPr>
          <w:rFonts w:asciiTheme="minorHAnsi" w:hAnsiTheme="minorHAnsi" w:cstheme="minorHAnsi"/>
          <w:sz w:val="22"/>
          <w:szCs w:val="22"/>
        </w:rPr>
        <w:t>s osnova</w:t>
      </w:r>
      <w:r w:rsidR="00D1322E" w:rsidRPr="00110644">
        <w:rPr>
          <w:rFonts w:asciiTheme="minorHAnsi" w:hAnsiTheme="minorHAnsi" w:cstheme="minorHAnsi"/>
          <w:sz w:val="22"/>
          <w:szCs w:val="22"/>
        </w:rPr>
        <w:t xml:space="preserve"> pruženih zdravstvenih usluga, koj</w:t>
      </w:r>
      <w:r w:rsidR="008351BC" w:rsidRPr="00110644">
        <w:rPr>
          <w:rFonts w:asciiTheme="minorHAnsi" w:hAnsiTheme="minorHAnsi" w:cstheme="minorHAnsi"/>
          <w:sz w:val="22"/>
          <w:szCs w:val="22"/>
        </w:rPr>
        <w:t>e</w:t>
      </w:r>
      <w:r w:rsidR="00D1322E" w:rsidRPr="00110644">
        <w:rPr>
          <w:rFonts w:asciiTheme="minorHAnsi" w:hAnsiTheme="minorHAnsi" w:cstheme="minorHAnsi"/>
          <w:sz w:val="22"/>
          <w:szCs w:val="22"/>
        </w:rPr>
        <w:t xml:space="preserve"> </w:t>
      </w:r>
      <w:r w:rsidR="00C250B2" w:rsidRPr="00110644">
        <w:rPr>
          <w:rFonts w:asciiTheme="minorHAnsi" w:hAnsiTheme="minorHAnsi" w:cstheme="minorHAnsi"/>
          <w:sz w:val="22"/>
          <w:szCs w:val="22"/>
        </w:rPr>
        <w:t xml:space="preserve">se potražuje </w:t>
      </w:r>
      <w:r w:rsidR="00C01306">
        <w:rPr>
          <w:rFonts w:asciiTheme="minorHAnsi" w:hAnsiTheme="minorHAnsi" w:cstheme="minorHAnsi"/>
          <w:sz w:val="22"/>
          <w:szCs w:val="22"/>
        </w:rPr>
        <w:t xml:space="preserve">od HZZO </w:t>
      </w:r>
      <w:r w:rsidR="00C250B2" w:rsidRPr="00110644">
        <w:rPr>
          <w:rFonts w:asciiTheme="minorHAnsi" w:hAnsiTheme="minorHAnsi" w:cstheme="minorHAnsi"/>
          <w:sz w:val="22"/>
          <w:szCs w:val="22"/>
        </w:rPr>
        <w:t>temeljem glavarine</w:t>
      </w:r>
      <w:r w:rsidR="00D1322E" w:rsidRPr="00110644">
        <w:rPr>
          <w:rFonts w:asciiTheme="minorHAnsi" w:hAnsiTheme="minorHAnsi" w:cstheme="minorHAnsi"/>
          <w:sz w:val="22"/>
          <w:szCs w:val="22"/>
        </w:rPr>
        <w:t xml:space="preserve"> </w:t>
      </w:r>
      <w:r w:rsidR="00C01306">
        <w:rPr>
          <w:rFonts w:asciiTheme="minorHAnsi" w:hAnsiTheme="minorHAnsi" w:cstheme="minorHAnsi"/>
          <w:sz w:val="22"/>
          <w:szCs w:val="22"/>
        </w:rPr>
        <w:t>i ostalih ugovorenih stavki</w:t>
      </w:r>
    </w:p>
    <w:p w14:paraId="618DD2EE" w14:textId="3B1FAA05" w:rsidR="001D277C" w:rsidRPr="00110644" w:rsidRDefault="003E18BF" w:rsidP="00C250B2">
      <w:pPr>
        <w:pStyle w:val="BodyTex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>9.999,77 eur</w:t>
      </w:r>
      <w:r w:rsidR="001D277C" w:rsidRPr="00110644">
        <w:rPr>
          <w:rFonts w:asciiTheme="minorHAnsi" w:hAnsiTheme="minorHAnsi" w:cstheme="minorHAnsi"/>
          <w:sz w:val="22"/>
          <w:szCs w:val="22"/>
        </w:rPr>
        <w:t xml:space="preserve"> s osnova podnesenih zahtjeva za nadoknadom sredstava temeljem prijenosa EU sredstava</w:t>
      </w:r>
    </w:p>
    <w:p w14:paraId="18E1E861" w14:textId="28604CF3" w:rsidR="00C274EF" w:rsidRPr="00110644" w:rsidRDefault="008351BC" w:rsidP="00C250B2">
      <w:pPr>
        <w:pStyle w:val="BodyTex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 xml:space="preserve">33.203,93 eur </w:t>
      </w:r>
      <w:r w:rsidR="00B314B7" w:rsidRPr="00110644">
        <w:rPr>
          <w:rFonts w:asciiTheme="minorHAnsi" w:hAnsiTheme="minorHAnsi" w:cstheme="minorHAnsi"/>
          <w:sz w:val="22"/>
          <w:szCs w:val="22"/>
        </w:rPr>
        <w:t>s osnova pruženih usluga na tržištu (vlastiti prihodi)</w:t>
      </w:r>
    </w:p>
    <w:p w14:paraId="2D9C84A4" w14:textId="507098ED" w:rsidR="00C274EF" w:rsidRPr="00110644" w:rsidRDefault="008351BC" w:rsidP="00C250B2">
      <w:pPr>
        <w:pStyle w:val="BodyTex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 xml:space="preserve">46.407,10 eur </w:t>
      </w:r>
      <w:r w:rsidR="00C274EF" w:rsidRPr="00110644">
        <w:rPr>
          <w:rFonts w:asciiTheme="minorHAnsi" w:hAnsiTheme="minorHAnsi" w:cstheme="minorHAnsi"/>
          <w:sz w:val="22"/>
          <w:szCs w:val="22"/>
        </w:rPr>
        <w:t>s osnova ostalih raznih po</w:t>
      </w:r>
      <w:r w:rsidR="00B314B7" w:rsidRPr="00110644">
        <w:rPr>
          <w:rFonts w:asciiTheme="minorHAnsi" w:hAnsiTheme="minorHAnsi" w:cstheme="minorHAnsi"/>
          <w:sz w:val="22"/>
          <w:szCs w:val="22"/>
        </w:rPr>
        <w:t>traživanj</w:t>
      </w:r>
      <w:r w:rsidR="00D33F85" w:rsidRPr="00110644">
        <w:rPr>
          <w:rFonts w:asciiTheme="minorHAnsi" w:hAnsiTheme="minorHAnsi" w:cstheme="minorHAnsi"/>
          <w:sz w:val="22"/>
          <w:szCs w:val="22"/>
        </w:rPr>
        <w:t>a (</w:t>
      </w:r>
      <w:r w:rsidR="00116B08" w:rsidRPr="00110644">
        <w:rPr>
          <w:rFonts w:asciiTheme="minorHAnsi" w:hAnsiTheme="minorHAnsi" w:cstheme="minorHAnsi"/>
          <w:sz w:val="22"/>
          <w:szCs w:val="22"/>
        </w:rPr>
        <w:t xml:space="preserve">ovo se primarno odnosi na odštetni zahtjev za štetni događaj iz 2022., za vozilo reg. </w:t>
      </w:r>
      <w:proofErr w:type="spellStart"/>
      <w:r w:rsidR="00116B08" w:rsidRPr="00110644">
        <w:rPr>
          <w:rFonts w:asciiTheme="minorHAnsi" w:hAnsiTheme="minorHAnsi" w:cstheme="minorHAnsi"/>
          <w:sz w:val="22"/>
          <w:szCs w:val="22"/>
        </w:rPr>
        <w:t>ozn</w:t>
      </w:r>
      <w:proofErr w:type="spellEnd"/>
      <w:r w:rsidR="00116B08" w:rsidRPr="00110644">
        <w:rPr>
          <w:rFonts w:asciiTheme="minorHAnsi" w:hAnsiTheme="minorHAnsi" w:cstheme="minorHAnsi"/>
          <w:sz w:val="22"/>
          <w:szCs w:val="22"/>
        </w:rPr>
        <w:t>. ZG-2958-IT</w:t>
      </w:r>
      <w:r w:rsidR="00B314B7" w:rsidRPr="00110644">
        <w:rPr>
          <w:rFonts w:asciiTheme="minorHAnsi" w:hAnsiTheme="minorHAnsi" w:cstheme="minorHAnsi"/>
          <w:sz w:val="22"/>
          <w:szCs w:val="22"/>
        </w:rPr>
        <w:t>)</w:t>
      </w:r>
      <w:r w:rsidR="00410387">
        <w:rPr>
          <w:rFonts w:asciiTheme="minorHAnsi" w:hAnsiTheme="minorHAnsi" w:cstheme="minorHAnsi"/>
          <w:sz w:val="22"/>
          <w:szCs w:val="22"/>
        </w:rPr>
        <w:t>.</w:t>
      </w:r>
    </w:p>
    <w:p w14:paraId="0AD22061" w14:textId="44E6BEE7" w:rsidR="004104E0" w:rsidRPr="00110644" w:rsidRDefault="009A1C7B" w:rsidP="002B5EAB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>Od ukupnih 1.388.620,78 eur iskazanog potraživanja na dan 31.12.2023., na dan 31. siječnja 2024. ostalo je ne</w:t>
      </w:r>
      <w:r w:rsidR="002B5EAB">
        <w:rPr>
          <w:rFonts w:asciiTheme="minorHAnsi" w:hAnsiTheme="minorHAnsi" w:cstheme="minorHAnsi"/>
          <w:sz w:val="22"/>
          <w:szCs w:val="22"/>
        </w:rPr>
        <w:t>na</w:t>
      </w:r>
      <w:r w:rsidRPr="00110644">
        <w:rPr>
          <w:rFonts w:asciiTheme="minorHAnsi" w:hAnsiTheme="minorHAnsi" w:cstheme="minorHAnsi"/>
          <w:sz w:val="22"/>
          <w:szCs w:val="22"/>
        </w:rPr>
        <w:t xml:space="preserve">plaćeno 67.135,05 </w:t>
      </w:r>
      <w:r w:rsidR="002B5EAB">
        <w:rPr>
          <w:rFonts w:asciiTheme="minorHAnsi" w:hAnsiTheme="minorHAnsi" w:cstheme="minorHAnsi"/>
          <w:sz w:val="22"/>
          <w:szCs w:val="22"/>
        </w:rPr>
        <w:t xml:space="preserve">eur (bez obzira na dospjelost), a </w:t>
      </w:r>
      <w:r w:rsidR="00AB5D93" w:rsidRPr="00110644">
        <w:rPr>
          <w:rFonts w:asciiTheme="minorHAnsi" w:hAnsiTheme="minorHAnsi" w:cstheme="minorHAnsi"/>
          <w:sz w:val="22"/>
          <w:szCs w:val="22"/>
        </w:rPr>
        <w:t xml:space="preserve">dospjelo nenaplaćeno potraživanje </w:t>
      </w:r>
      <w:r w:rsidRPr="00110644">
        <w:rPr>
          <w:rFonts w:asciiTheme="minorHAnsi" w:hAnsiTheme="minorHAnsi" w:cstheme="minorHAnsi"/>
          <w:sz w:val="22"/>
          <w:szCs w:val="22"/>
        </w:rPr>
        <w:t>zabilježeno</w:t>
      </w:r>
      <w:r w:rsidR="00AB5D93" w:rsidRPr="00110644">
        <w:rPr>
          <w:rFonts w:asciiTheme="minorHAnsi" w:hAnsiTheme="minorHAnsi" w:cstheme="minorHAnsi"/>
          <w:sz w:val="22"/>
          <w:szCs w:val="22"/>
        </w:rPr>
        <w:t xml:space="preserve"> na 31.12. (62.854 eur) svelo se </w:t>
      </w:r>
      <w:r w:rsidR="002B5EAB">
        <w:rPr>
          <w:rFonts w:asciiTheme="minorHAnsi" w:hAnsiTheme="minorHAnsi" w:cstheme="minorHAnsi"/>
          <w:sz w:val="22"/>
          <w:szCs w:val="22"/>
        </w:rPr>
        <w:t xml:space="preserve">do 15.02.2024. </w:t>
      </w:r>
      <w:r w:rsidR="00AB5D93" w:rsidRPr="00110644">
        <w:rPr>
          <w:rFonts w:asciiTheme="minorHAnsi" w:hAnsiTheme="minorHAnsi" w:cstheme="minorHAnsi"/>
          <w:sz w:val="22"/>
          <w:szCs w:val="22"/>
        </w:rPr>
        <w:t xml:space="preserve">na </w:t>
      </w:r>
      <w:r w:rsidR="00BB5E86" w:rsidRPr="00110644">
        <w:rPr>
          <w:rFonts w:asciiTheme="minorHAnsi" w:hAnsiTheme="minorHAnsi" w:cstheme="minorHAnsi"/>
          <w:sz w:val="22"/>
          <w:szCs w:val="22"/>
        </w:rPr>
        <w:t>3.493,29 eur (razlika</w:t>
      </w:r>
      <w:r w:rsidRPr="00110644">
        <w:rPr>
          <w:rFonts w:asciiTheme="minorHAnsi" w:hAnsiTheme="minorHAnsi" w:cstheme="minorHAnsi"/>
          <w:sz w:val="22"/>
          <w:szCs w:val="22"/>
        </w:rPr>
        <w:t xml:space="preserve"> dospjelog potraživanja</w:t>
      </w:r>
      <w:r w:rsidR="00BB5E86" w:rsidRPr="00110644">
        <w:rPr>
          <w:rFonts w:asciiTheme="minorHAnsi" w:hAnsiTheme="minorHAnsi" w:cstheme="minorHAnsi"/>
          <w:sz w:val="22"/>
          <w:szCs w:val="22"/>
        </w:rPr>
        <w:t xml:space="preserve"> je naplaćena).</w:t>
      </w:r>
      <w:bookmarkStart w:id="5" w:name="_Toc473481485"/>
    </w:p>
    <w:p w14:paraId="3A30D60C" w14:textId="50A6B6A1" w:rsidR="00C274EF" w:rsidRPr="00110644" w:rsidRDefault="00C274EF" w:rsidP="00C274EF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>Rashodi</w:t>
      </w:r>
      <w:bookmarkEnd w:id="5"/>
    </w:p>
    <w:p w14:paraId="7E9055A9" w14:textId="350D5207" w:rsidR="00C274EF" w:rsidRPr="00110644" w:rsidRDefault="00C274EF" w:rsidP="00C274EF">
      <w:pPr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>Pri planiranju rashoda poslovanja uvijek se nastoji osigurati dovoljno sredst</w:t>
      </w:r>
      <w:r w:rsidR="000A202A" w:rsidRPr="00110644">
        <w:rPr>
          <w:rFonts w:asciiTheme="minorHAnsi" w:hAnsiTheme="minorHAnsi" w:cstheme="minorHAnsi"/>
          <w:sz w:val="22"/>
          <w:szCs w:val="22"/>
        </w:rPr>
        <w:t>a</w:t>
      </w:r>
      <w:r w:rsidRPr="00110644">
        <w:rPr>
          <w:rFonts w:asciiTheme="minorHAnsi" w:hAnsiTheme="minorHAnsi" w:cstheme="minorHAnsi"/>
          <w:sz w:val="22"/>
          <w:szCs w:val="22"/>
        </w:rPr>
        <w:t xml:space="preserve">va za isplatu plaća i drugih primanja radnika sukladno važećim propisima i internim aktima. Jednako tako </w:t>
      </w:r>
      <w:r w:rsidR="00D50AD5" w:rsidRPr="00110644">
        <w:rPr>
          <w:rFonts w:asciiTheme="minorHAnsi" w:hAnsiTheme="minorHAnsi" w:cstheme="minorHAnsi"/>
          <w:sz w:val="22"/>
          <w:szCs w:val="22"/>
        </w:rPr>
        <w:t>postupa se</w:t>
      </w:r>
      <w:r w:rsidRPr="00110644">
        <w:rPr>
          <w:rFonts w:asciiTheme="minorHAnsi" w:hAnsiTheme="minorHAnsi" w:cstheme="minorHAnsi"/>
          <w:sz w:val="22"/>
          <w:szCs w:val="22"/>
        </w:rPr>
        <w:t xml:space="preserve"> i sa planiranjem sredstava potrebnih za pokriće ostalih rashoda poslovanja proiz</w:t>
      </w:r>
      <w:r w:rsidR="00D50AD5" w:rsidRPr="00110644">
        <w:rPr>
          <w:rFonts w:asciiTheme="minorHAnsi" w:hAnsiTheme="minorHAnsi" w:cstheme="minorHAnsi"/>
          <w:sz w:val="22"/>
          <w:szCs w:val="22"/>
        </w:rPr>
        <w:t>a</w:t>
      </w:r>
      <w:r w:rsidRPr="00110644">
        <w:rPr>
          <w:rFonts w:asciiTheme="minorHAnsi" w:hAnsiTheme="minorHAnsi" w:cstheme="minorHAnsi"/>
          <w:sz w:val="22"/>
          <w:szCs w:val="22"/>
        </w:rPr>
        <w:t>šlih iz obavljanja osnovne djelatnosti.</w:t>
      </w:r>
    </w:p>
    <w:p w14:paraId="0589706B" w14:textId="399E6323" w:rsidR="00747985" w:rsidRPr="00110644" w:rsidRDefault="00747985" w:rsidP="00747985">
      <w:pPr>
        <w:pStyle w:val="NoSpacing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10644">
        <w:rPr>
          <w:rFonts w:asciiTheme="minorHAnsi" w:hAnsiTheme="minorHAnsi" w:cstheme="minorHAnsi"/>
          <w:i/>
          <w:sz w:val="20"/>
          <w:szCs w:val="20"/>
        </w:rPr>
        <w:t xml:space="preserve">Tablica </w:t>
      </w:r>
      <w:r w:rsidRPr="00110644">
        <w:rPr>
          <w:rFonts w:asciiTheme="minorHAnsi" w:hAnsiTheme="minorHAnsi" w:cstheme="minorHAnsi"/>
          <w:i/>
          <w:sz w:val="20"/>
          <w:szCs w:val="20"/>
        </w:rPr>
        <w:fldChar w:fldCharType="begin"/>
      </w:r>
      <w:r w:rsidRPr="00110644">
        <w:rPr>
          <w:rFonts w:asciiTheme="minorHAnsi" w:hAnsiTheme="minorHAnsi" w:cstheme="minorHAnsi"/>
          <w:i/>
          <w:sz w:val="20"/>
          <w:szCs w:val="20"/>
        </w:rPr>
        <w:instrText xml:space="preserve"> SEQ Tablica \* ARABIC </w:instrText>
      </w:r>
      <w:r w:rsidRPr="00110644">
        <w:rPr>
          <w:rFonts w:asciiTheme="minorHAnsi" w:hAnsiTheme="minorHAnsi" w:cstheme="minorHAnsi"/>
          <w:i/>
          <w:sz w:val="20"/>
          <w:szCs w:val="20"/>
        </w:rPr>
        <w:fldChar w:fldCharType="separate"/>
      </w:r>
      <w:r w:rsidR="00261536">
        <w:rPr>
          <w:rFonts w:asciiTheme="minorHAnsi" w:hAnsiTheme="minorHAnsi" w:cstheme="minorHAnsi"/>
          <w:i/>
          <w:noProof/>
          <w:sz w:val="20"/>
          <w:szCs w:val="20"/>
        </w:rPr>
        <w:t>4</w:t>
      </w:r>
      <w:r w:rsidRPr="00110644">
        <w:rPr>
          <w:rFonts w:asciiTheme="minorHAnsi" w:hAnsiTheme="minorHAnsi" w:cstheme="minorHAnsi"/>
          <w:i/>
          <w:sz w:val="20"/>
          <w:szCs w:val="20"/>
        </w:rPr>
        <w:fldChar w:fldCharType="end"/>
      </w:r>
      <w:r w:rsidRPr="00110644">
        <w:rPr>
          <w:rFonts w:asciiTheme="minorHAnsi" w:hAnsiTheme="minorHAnsi" w:cstheme="minorHAnsi"/>
          <w:i/>
          <w:sz w:val="20"/>
          <w:szCs w:val="20"/>
        </w:rPr>
        <w:t>: Podaci o rashodima</w:t>
      </w:r>
      <w:r>
        <w:rPr>
          <w:rFonts w:asciiTheme="minorHAnsi" w:hAnsiTheme="minorHAnsi" w:cstheme="minorHAnsi"/>
          <w:i/>
          <w:sz w:val="20"/>
          <w:szCs w:val="20"/>
        </w:rPr>
        <w:t xml:space="preserve"> i izdacima 2023.</w:t>
      </w:r>
    </w:p>
    <w:tbl>
      <w:tblPr>
        <w:tblW w:w="9749" w:type="dxa"/>
        <w:tblLook w:val="04A0" w:firstRow="1" w:lastRow="0" w:firstColumn="1" w:lastColumn="0" w:noHBand="0" w:noVBand="1"/>
      </w:tblPr>
      <w:tblGrid>
        <w:gridCol w:w="3828"/>
        <w:gridCol w:w="1226"/>
        <w:gridCol w:w="1226"/>
        <w:gridCol w:w="1240"/>
        <w:gridCol w:w="1120"/>
        <w:gridCol w:w="1109"/>
      </w:tblGrid>
      <w:tr w:rsidR="00747985" w:rsidRPr="008A635F" w14:paraId="52CC0CA8" w14:textId="77777777" w:rsidTr="00DF3EEA">
        <w:trPr>
          <w:trHeight w:val="525"/>
        </w:trPr>
        <w:tc>
          <w:tcPr>
            <w:tcW w:w="3828" w:type="dxa"/>
            <w:tcBorders>
              <w:top w:val="single" w:sz="4" w:space="0" w:color="305496"/>
              <w:left w:val="nil"/>
              <w:bottom w:val="single" w:sz="4" w:space="0" w:color="D9E1F2"/>
              <w:right w:val="nil"/>
            </w:tcBorders>
            <w:shd w:val="clear" w:color="305496" w:fill="305496"/>
            <w:noWrap/>
            <w:vAlign w:val="center"/>
            <w:hideMark/>
          </w:tcPr>
          <w:p w14:paraId="04AA5CB1" w14:textId="77777777" w:rsidR="00747985" w:rsidRPr="008A635F" w:rsidRDefault="00747985" w:rsidP="00DF3EEA">
            <w:pPr>
              <w:spacing w:after="0" w:line="240" w:lineRule="auto"/>
              <w:ind w:firstLine="0"/>
              <w:jc w:val="left"/>
              <w:rPr>
                <w:rFonts w:cs="Calibri"/>
                <w:color w:val="FFFFFF"/>
                <w:sz w:val="22"/>
                <w:szCs w:val="22"/>
              </w:rPr>
            </w:pPr>
            <w:r w:rsidRPr="008A635F">
              <w:rPr>
                <w:rFonts w:cs="Calibri"/>
                <w:color w:val="FFFFFF"/>
                <w:sz w:val="22"/>
                <w:szCs w:val="22"/>
              </w:rPr>
              <w:t>Stavke</w:t>
            </w:r>
          </w:p>
        </w:tc>
        <w:tc>
          <w:tcPr>
            <w:tcW w:w="1226" w:type="dxa"/>
            <w:tcBorders>
              <w:top w:val="single" w:sz="4" w:space="0" w:color="305496"/>
              <w:left w:val="nil"/>
              <w:bottom w:val="single" w:sz="4" w:space="0" w:color="D9E1F2"/>
              <w:right w:val="nil"/>
            </w:tcBorders>
            <w:shd w:val="clear" w:color="305496" w:fill="305496"/>
            <w:vAlign w:val="center"/>
            <w:hideMark/>
          </w:tcPr>
          <w:p w14:paraId="16B29F09" w14:textId="77777777" w:rsidR="00747985" w:rsidRPr="008A635F" w:rsidRDefault="00747985" w:rsidP="00DF3EEA">
            <w:pPr>
              <w:spacing w:after="0" w:line="240" w:lineRule="auto"/>
              <w:ind w:firstLine="0"/>
              <w:jc w:val="center"/>
              <w:rPr>
                <w:rFonts w:cs="Calibri"/>
                <w:color w:val="FFFFFF"/>
                <w:sz w:val="20"/>
                <w:szCs w:val="20"/>
              </w:rPr>
            </w:pPr>
            <w:r w:rsidRPr="008A635F">
              <w:rPr>
                <w:rFonts w:cs="Calibri"/>
                <w:color w:val="FFFFFF"/>
                <w:sz w:val="20"/>
                <w:szCs w:val="20"/>
              </w:rPr>
              <w:t>Plan 2023.</w:t>
            </w:r>
          </w:p>
        </w:tc>
        <w:tc>
          <w:tcPr>
            <w:tcW w:w="1226" w:type="dxa"/>
            <w:tcBorders>
              <w:top w:val="single" w:sz="4" w:space="0" w:color="305496"/>
              <w:left w:val="nil"/>
              <w:bottom w:val="single" w:sz="4" w:space="0" w:color="D9E1F2"/>
              <w:right w:val="nil"/>
            </w:tcBorders>
            <w:shd w:val="clear" w:color="305496" w:fill="305496"/>
            <w:vAlign w:val="center"/>
            <w:hideMark/>
          </w:tcPr>
          <w:p w14:paraId="5D8BE09A" w14:textId="77777777" w:rsidR="00747985" w:rsidRPr="008A635F" w:rsidRDefault="00747985" w:rsidP="00DF3EEA">
            <w:pPr>
              <w:spacing w:after="0" w:line="240" w:lineRule="auto"/>
              <w:ind w:firstLine="0"/>
              <w:jc w:val="center"/>
              <w:rPr>
                <w:rFonts w:cs="Calibri"/>
                <w:color w:val="FFFFFF"/>
                <w:sz w:val="20"/>
                <w:szCs w:val="20"/>
              </w:rPr>
            </w:pPr>
            <w:r w:rsidRPr="008A635F">
              <w:rPr>
                <w:rFonts w:cs="Calibri"/>
                <w:color w:val="FFFFFF"/>
                <w:sz w:val="20"/>
                <w:szCs w:val="20"/>
              </w:rPr>
              <w:t>Ostvarenje 2022.</w:t>
            </w:r>
          </w:p>
        </w:tc>
        <w:tc>
          <w:tcPr>
            <w:tcW w:w="1240" w:type="dxa"/>
            <w:tcBorders>
              <w:top w:val="single" w:sz="4" w:space="0" w:color="305496"/>
              <w:left w:val="nil"/>
              <w:bottom w:val="single" w:sz="4" w:space="0" w:color="D9E1F2"/>
              <w:right w:val="nil"/>
            </w:tcBorders>
            <w:shd w:val="clear" w:color="305496" w:fill="305496"/>
            <w:vAlign w:val="center"/>
            <w:hideMark/>
          </w:tcPr>
          <w:p w14:paraId="5A3466F5" w14:textId="77777777" w:rsidR="00747985" w:rsidRPr="008A635F" w:rsidRDefault="00747985" w:rsidP="00DF3EEA">
            <w:pPr>
              <w:spacing w:after="0" w:line="240" w:lineRule="auto"/>
              <w:ind w:firstLine="0"/>
              <w:jc w:val="center"/>
              <w:rPr>
                <w:rFonts w:cs="Calibri"/>
                <w:color w:val="FFFFFF"/>
                <w:sz w:val="20"/>
                <w:szCs w:val="20"/>
              </w:rPr>
            </w:pPr>
            <w:r w:rsidRPr="008A635F">
              <w:rPr>
                <w:rFonts w:cs="Calibri"/>
                <w:color w:val="FFFFFF"/>
                <w:sz w:val="20"/>
                <w:szCs w:val="20"/>
              </w:rPr>
              <w:t>Ostvarenje 2023.</w:t>
            </w:r>
          </w:p>
        </w:tc>
        <w:tc>
          <w:tcPr>
            <w:tcW w:w="1120" w:type="dxa"/>
            <w:tcBorders>
              <w:top w:val="single" w:sz="4" w:space="0" w:color="305496"/>
              <w:left w:val="nil"/>
              <w:bottom w:val="single" w:sz="4" w:space="0" w:color="D9E1F2"/>
              <w:right w:val="nil"/>
            </w:tcBorders>
            <w:shd w:val="clear" w:color="305496" w:fill="305496"/>
            <w:vAlign w:val="bottom"/>
            <w:hideMark/>
          </w:tcPr>
          <w:p w14:paraId="275EBE3D" w14:textId="77777777" w:rsidR="00747985" w:rsidRPr="008A635F" w:rsidRDefault="00747985" w:rsidP="00DF3EEA">
            <w:pPr>
              <w:spacing w:after="0" w:line="240" w:lineRule="auto"/>
              <w:ind w:firstLine="0"/>
              <w:jc w:val="center"/>
              <w:rPr>
                <w:rFonts w:cs="Calibri"/>
                <w:color w:val="FFFFFF"/>
                <w:sz w:val="20"/>
                <w:szCs w:val="20"/>
              </w:rPr>
            </w:pPr>
            <w:r w:rsidRPr="008A635F">
              <w:rPr>
                <w:rFonts w:cs="Calibri"/>
                <w:color w:val="FFFFFF"/>
                <w:sz w:val="20"/>
                <w:szCs w:val="20"/>
              </w:rPr>
              <w:t>Ostvarenje plana</w:t>
            </w:r>
          </w:p>
        </w:tc>
        <w:tc>
          <w:tcPr>
            <w:tcW w:w="1109" w:type="dxa"/>
            <w:tcBorders>
              <w:top w:val="single" w:sz="4" w:space="0" w:color="305496"/>
              <w:left w:val="nil"/>
              <w:bottom w:val="single" w:sz="4" w:space="0" w:color="D9E1F2"/>
              <w:right w:val="nil"/>
            </w:tcBorders>
            <w:shd w:val="clear" w:color="305496" w:fill="305496"/>
            <w:vAlign w:val="bottom"/>
            <w:hideMark/>
          </w:tcPr>
          <w:p w14:paraId="78B4FFF3" w14:textId="77777777" w:rsidR="00747985" w:rsidRPr="008A635F" w:rsidRDefault="00747985" w:rsidP="00DF3EEA">
            <w:pPr>
              <w:spacing w:after="0" w:line="240" w:lineRule="auto"/>
              <w:ind w:firstLine="0"/>
              <w:jc w:val="center"/>
              <w:rPr>
                <w:rFonts w:cs="Calibri"/>
                <w:color w:val="FFFFFF"/>
                <w:sz w:val="20"/>
                <w:szCs w:val="20"/>
              </w:rPr>
            </w:pPr>
            <w:r w:rsidRPr="008A635F">
              <w:rPr>
                <w:rFonts w:cs="Calibri"/>
                <w:color w:val="FFFFFF"/>
                <w:sz w:val="20"/>
                <w:szCs w:val="20"/>
              </w:rPr>
              <w:t>Usporedba razdoblja</w:t>
            </w:r>
          </w:p>
        </w:tc>
      </w:tr>
      <w:tr w:rsidR="00747985" w:rsidRPr="008A635F" w14:paraId="60EE5DF3" w14:textId="77777777" w:rsidTr="00DF3EE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8EA9DB" w:fill="8EA9DB"/>
            <w:noWrap/>
            <w:vAlign w:val="bottom"/>
            <w:hideMark/>
          </w:tcPr>
          <w:p w14:paraId="790E5AC6" w14:textId="77777777" w:rsidR="00747985" w:rsidRPr="008A635F" w:rsidRDefault="00747985" w:rsidP="00DF3EEA">
            <w:pPr>
              <w:spacing w:after="0" w:line="240" w:lineRule="auto"/>
              <w:ind w:firstLine="0"/>
              <w:jc w:val="left"/>
              <w:rPr>
                <w:rFonts w:cs="Calibri"/>
                <w:color w:val="FFFFFF"/>
                <w:sz w:val="22"/>
                <w:szCs w:val="22"/>
              </w:rPr>
            </w:pPr>
            <w:r w:rsidRPr="008A635F">
              <w:rPr>
                <w:rFonts w:cs="Calibri"/>
                <w:color w:val="FFFFFF"/>
                <w:sz w:val="22"/>
                <w:szCs w:val="22"/>
              </w:rPr>
              <w:t>3 Rashodi poslovanja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8EA9DB" w:fill="8EA9DB"/>
            <w:noWrap/>
            <w:vAlign w:val="bottom"/>
            <w:hideMark/>
          </w:tcPr>
          <w:p w14:paraId="36BD64A7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FF0000"/>
                <w:sz w:val="22"/>
                <w:szCs w:val="22"/>
              </w:rPr>
            </w:pPr>
            <w:r w:rsidRPr="008A635F">
              <w:rPr>
                <w:rFonts w:cs="Calibri"/>
                <w:color w:val="FF0000"/>
                <w:sz w:val="22"/>
                <w:szCs w:val="22"/>
              </w:rPr>
              <w:t>14.879.830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8EA9DB" w:fill="8EA9DB"/>
            <w:noWrap/>
            <w:vAlign w:val="bottom"/>
            <w:hideMark/>
          </w:tcPr>
          <w:p w14:paraId="1ACB24ED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FFFFFF"/>
                <w:sz w:val="22"/>
                <w:szCs w:val="22"/>
              </w:rPr>
            </w:pPr>
            <w:r w:rsidRPr="008A635F">
              <w:rPr>
                <w:rFonts w:cs="Calibri"/>
                <w:color w:val="FFFFFF"/>
                <w:sz w:val="22"/>
                <w:szCs w:val="22"/>
              </w:rPr>
              <w:t>13.351.199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8EA9DB" w:fill="8EA9DB"/>
            <w:noWrap/>
            <w:vAlign w:val="bottom"/>
            <w:hideMark/>
          </w:tcPr>
          <w:p w14:paraId="7E544BCB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8A635F">
              <w:rPr>
                <w:rFonts w:cs="Calibri"/>
                <w:b/>
                <w:bCs/>
                <w:color w:val="FFFFFF"/>
                <w:sz w:val="22"/>
                <w:szCs w:val="22"/>
              </w:rPr>
              <w:t>15.591.644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8EA9DB" w:fill="8EA9DB"/>
            <w:noWrap/>
            <w:vAlign w:val="bottom"/>
            <w:hideMark/>
          </w:tcPr>
          <w:p w14:paraId="02ECB7B1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FFFFFF"/>
                <w:sz w:val="22"/>
                <w:szCs w:val="22"/>
              </w:rPr>
            </w:pPr>
            <w:r w:rsidRPr="008A635F">
              <w:rPr>
                <w:rFonts w:cs="Calibri"/>
                <w:color w:val="FFFFFF"/>
                <w:sz w:val="22"/>
                <w:szCs w:val="22"/>
              </w:rPr>
              <w:t>104,8%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8EA9DB" w:fill="8EA9DB"/>
            <w:noWrap/>
            <w:vAlign w:val="bottom"/>
            <w:hideMark/>
          </w:tcPr>
          <w:p w14:paraId="4E4FA80A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FFFFFF"/>
                <w:sz w:val="22"/>
                <w:szCs w:val="22"/>
              </w:rPr>
            </w:pPr>
            <w:r w:rsidRPr="008A635F">
              <w:rPr>
                <w:rFonts w:cs="Calibri"/>
                <w:color w:val="FFFFFF"/>
                <w:sz w:val="22"/>
                <w:szCs w:val="22"/>
              </w:rPr>
              <w:t>16,8%</w:t>
            </w:r>
          </w:p>
        </w:tc>
      </w:tr>
      <w:tr w:rsidR="00747985" w:rsidRPr="008A635F" w14:paraId="4D14335D" w14:textId="77777777" w:rsidTr="00DF3EE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33972DB6" w14:textId="77777777" w:rsidR="00747985" w:rsidRPr="008A635F" w:rsidRDefault="00747985" w:rsidP="00DF3EEA">
            <w:pPr>
              <w:spacing w:after="0" w:line="240" w:lineRule="auto"/>
              <w:ind w:firstLineChars="100" w:firstLine="22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31 Rashodi za zaposlene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49C17150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FF0000"/>
                <w:sz w:val="22"/>
                <w:szCs w:val="22"/>
              </w:rPr>
            </w:pPr>
            <w:r w:rsidRPr="008A635F">
              <w:rPr>
                <w:rFonts w:cs="Calibri"/>
                <w:color w:val="FF0000"/>
                <w:sz w:val="22"/>
                <w:szCs w:val="22"/>
              </w:rPr>
              <w:t>11.655.640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1D24EDDF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10.436.647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2CC63564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b/>
                <w:bCs/>
                <w:color w:val="000000"/>
                <w:sz w:val="22"/>
                <w:szCs w:val="22"/>
              </w:rPr>
              <w:t>12.485.776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4AFB0BB4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107,1%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1BFCD215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19,6%</w:t>
            </w:r>
          </w:p>
        </w:tc>
      </w:tr>
      <w:tr w:rsidR="00747985" w:rsidRPr="008A635F" w14:paraId="6435F7EF" w14:textId="77777777" w:rsidTr="00DF3EEA">
        <w:trPr>
          <w:trHeight w:val="300"/>
        </w:trPr>
        <w:tc>
          <w:tcPr>
            <w:tcW w:w="3828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1B03586B" w14:textId="77777777" w:rsidR="00747985" w:rsidRPr="008A635F" w:rsidRDefault="00747985" w:rsidP="00DF3EEA">
            <w:pPr>
              <w:spacing w:after="0" w:line="240" w:lineRule="auto"/>
              <w:ind w:firstLineChars="200" w:firstLine="44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311 Plaće (Bruto)</w:t>
            </w:r>
          </w:p>
        </w:tc>
        <w:tc>
          <w:tcPr>
            <w:tcW w:w="1226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6A63CE58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FF0000"/>
                <w:sz w:val="22"/>
                <w:szCs w:val="22"/>
              </w:rPr>
            </w:pPr>
            <w:r w:rsidRPr="008A635F">
              <w:rPr>
                <w:rFonts w:cs="Calibri"/>
                <w:color w:val="FF0000"/>
                <w:sz w:val="22"/>
                <w:szCs w:val="22"/>
              </w:rPr>
              <w:t>9.667.300</w:t>
            </w:r>
          </w:p>
        </w:tc>
        <w:tc>
          <w:tcPr>
            <w:tcW w:w="1226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11EFFF22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8.902.275</w:t>
            </w:r>
          </w:p>
        </w:tc>
        <w:tc>
          <w:tcPr>
            <w:tcW w:w="124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3F1B63D0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b/>
                <w:bCs/>
                <w:color w:val="000000"/>
                <w:sz w:val="22"/>
                <w:szCs w:val="22"/>
              </w:rPr>
              <w:t>10.598.192</w:t>
            </w:r>
          </w:p>
        </w:tc>
        <w:tc>
          <w:tcPr>
            <w:tcW w:w="112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18D0FFB3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109,6%</w:t>
            </w:r>
          </w:p>
        </w:tc>
        <w:tc>
          <w:tcPr>
            <w:tcW w:w="1109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24EE4767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19,1%</w:t>
            </w:r>
          </w:p>
        </w:tc>
      </w:tr>
      <w:tr w:rsidR="00747985" w:rsidRPr="008A635F" w14:paraId="0EC149C8" w14:textId="77777777" w:rsidTr="00DF3EE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05756A8A" w14:textId="77777777" w:rsidR="00747985" w:rsidRPr="008A635F" w:rsidRDefault="00747985" w:rsidP="00DF3EEA">
            <w:pPr>
              <w:spacing w:after="0" w:line="240" w:lineRule="auto"/>
              <w:ind w:firstLineChars="200" w:firstLine="44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312 Ostali rashodi za zaposlene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0484D407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FF0000"/>
                <w:sz w:val="22"/>
                <w:szCs w:val="22"/>
              </w:rPr>
            </w:pPr>
            <w:r w:rsidRPr="008A635F">
              <w:rPr>
                <w:rFonts w:cs="Calibri"/>
                <w:color w:val="FF0000"/>
                <w:sz w:val="22"/>
                <w:szCs w:val="22"/>
              </w:rPr>
              <w:t>354.200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76C6C43E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320.345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4263651A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b/>
                <w:bCs/>
                <w:color w:val="000000"/>
                <w:sz w:val="22"/>
                <w:szCs w:val="22"/>
              </w:rPr>
              <w:t>377.883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7A2A638B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106,7%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4739C82D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18,0%</w:t>
            </w:r>
          </w:p>
        </w:tc>
      </w:tr>
      <w:tr w:rsidR="00747985" w:rsidRPr="008A635F" w14:paraId="026FB794" w14:textId="77777777" w:rsidTr="00DF3EE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2838328F" w14:textId="77777777" w:rsidR="00747985" w:rsidRPr="008A635F" w:rsidRDefault="00747985" w:rsidP="00DF3EEA">
            <w:pPr>
              <w:spacing w:after="0" w:line="240" w:lineRule="auto"/>
              <w:ind w:firstLineChars="200" w:firstLine="44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313 Doprinosi na plaće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0EF85492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FF0000"/>
                <w:sz w:val="22"/>
                <w:szCs w:val="22"/>
              </w:rPr>
            </w:pPr>
            <w:r w:rsidRPr="008A635F">
              <w:rPr>
                <w:rFonts w:cs="Calibri"/>
                <w:color w:val="FF0000"/>
                <w:sz w:val="22"/>
                <w:szCs w:val="22"/>
              </w:rPr>
              <w:t>1.634.140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67D1167D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1.214.027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5B58B51E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b/>
                <w:bCs/>
                <w:color w:val="000000"/>
                <w:sz w:val="22"/>
                <w:szCs w:val="22"/>
              </w:rPr>
              <w:t>1.509.701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75291577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92,4%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442960B4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24,4%</w:t>
            </w:r>
          </w:p>
        </w:tc>
      </w:tr>
      <w:tr w:rsidR="00747985" w:rsidRPr="008A635F" w14:paraId="0A588A12" w14:textId="77777777" w:rsidTr="00DF3EE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12E2689C" w14:textId="77777777" w:rsidR="00747985" w:rsidRPr="008A635F" w:rsidRDefault="00747985" w:rsidP="00DF3EEA">
            <w:pPr>
              <w:spacing w:after="0" w:line="240" w:lineRule="auto"/>
              <w:ind w:firstLineChars="100" w:firstLine="22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32 Materijalni rashodi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12D3D2DD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FF0000"/>
                <w:sz w:val="22"/>
                <w:szCs w:val="22"/>
              </w:rPr>
            </w:pPr>
            <w:r w:rsidRPr="008A635F">
              <w:rPr>
                <w:rFonts w:cs="Calibri"/>
                <w:color w:val="FF0000"/>
                <w:sz w:val="22"/>
                <w:szCs w:val="22"/>
              </w:rPr>
              <w:t>2.911.720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634D1684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2.613.357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1F65A291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b/>
                <w:bCs/>
                <w:color w:val="000000"/>
                <w:sz w:val="22"/>
                <w:szCs w:val="22"/>
              </w:rPr>
              <w:t>2.735.943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191A5BA3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94,0%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233A3038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4,7%</w:t>
            </w:r>
          </w:p>
        </w:tc>
      </w:tr>
      <w:tr w:rsidR="00747985" w:rsidRPr="008A635F" w14:paraId="50779193" w14:textId="77777777" w:rsidTr="00DF3EEA">
        <w:trPr>
          <w:trHeight w:val="300"/>
        </w:trPr>
        <w:tc>
          <w:tcPr>
            <w:tcW w:w="3828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01B59116" w14:textId="77777777" w:rsidR="00747985" w:rsidRPr="008A635F" w:rsidRDefault="00747985" w:rsidP="00DF3EEA">
            <w:pPr>
              <w:spacing w:after="0" w:line="240" w:lineRule="auto"/>
              <w:ind w:firstLineChars="200" w:firstLine="440"/>
              <w:jc w:val="lef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321 Nakn.</w:t>
            </w:r>
            <w:r w:rsidRPr="008A635F">
              <w:rPr>
                <w:rFonts w:cs="Calibri"/>
                <w:color w:val="000000"/>
                <w:sz w:val="22"/>
                <w:szCs w:val="22"/>
              </w:rPr>
              <w:t xml:space="preserve"> troškova zaposlenicima</w:t>
            </w:r>
          </w:p>
        </w:tc>
        <w:tc>
          <w:tcPr>
            <w:tcW w:w="1226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2D8BA37A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FF0000"/>
                <w:sz w:val="22"/>
                <w:szCs w:val="22"/>
              </w:rPr>
            </w:pPr>
            <w:r w:rsidRPr="008A635F">
              <w:rPr>
                <w:rFonts w:cs="Calibri"/>
                <w:color w:val="FF0000"/>
                <w:sz w:val="22"/>
                <w:szCs w:val="22"/>
              </w:rPr>
              <w:t>368.460</w:t>
            </w:r>
          </w:p>
        </w:tc>
        <w:tc>
          <w:tcPr>
            <w:tcW w:w="1226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610B58C9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370.508</w:t>
            </w:r>
          </w:p>
        </w:tc>
        <w:tc>
          <w:tcPr>
            <w:tcW w:w="124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0B5A0338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b/>
                <w:bCs/>
                <w:color w:val="000000"/>
                <w:sz w:val="22"/>
                <w:szCs w:val="22"/>
              </w:rPr>
              <w:t>401.835</w:t>
            </w:r>
          </w:p>
        </w:tc>
        <w:tc>
          <w:tcPr>
            <w:tcW w:w="112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173A39E9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109,1%</w:t>
            </w:r>
          </w:p>
        </w:tc>
        <w:tc>
          <w:tcPr>
            <w:tcW w:w="1109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2FCC6CD2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8,5%</w:t>
            </w:r>
          </w:p>
        </w:tc>
      </w:tr>
      <w:tr w:rsidR="00747985" w:rsidRPr="008A635F" w14:paraId="2EEC1794" w14:textId="77777777" w:rsidTr="00DF3EE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161893B7" w14:textId="77777777" w:rsidR="00747985" w:rsidRPr="008A635F" w:rsidRDefault="00747985" w:rsidP="00DF3EEA">
            <w:pPr>
              <w:spacing w:after="0" w:line="240" w:lineRule="auto"/>
              <w:ind w:firstLineChars="200" w:firstLine="44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322 Rashodi za materijal i energiju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47E788C1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FF0000"/>
                <w:sz w:val="22"/>
                <w:szCs w:val="22"/>
              </w:rPr>
            </w:pPr>
            <w:r w:rsidRPr="008A635F">
              <w:rPr>
                <w:rFonts w:cs="Calibri"/>
                <w:color w:val="FF0000"/>
                <w:sz w:val="22"/>
                <w:szCs w:val="22"/>
              </w:rPr>
              <w:t>1.468.800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18763393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1.452.828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09A5519E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b/>
                <w:bCs/>
                <w:color w:val="000000"/>
                <w:sz w:val="22"/>
                <w:szCs w:val="22"/>
              </w:rPr>
              <w:t>1.320.573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2638CB41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89,9%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6BDA4092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-9,1%</w:t>
            </w:r>
          </w:p>
        </w:tc>
      </w:tr>
      <w:tr w:rsidR="00747985" w:rsidRPr="008A635F" w14:paraId="4520B6EC" w14:textId="77777777" w:rsidTr="00DF3EE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32514A08" w14:textId="77777777" w:rsidR="00747985" w:rsidRPr="008A635F" w:rsidRDefault="00747985" w:rsidP="00DF3EEA">
            <w:pPr>
              <w:spacing w:after="0" w:line="240" w:lineRule="auto"/>
              <w:ind w:firstLineChars="200" w:firstLine="44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323 Rashodi za usluge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7391D066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FF0000"/>
                <w:sz w:val="22"/>
                <w:szCs w:val="22"/>
              </w:rPr>
            </w:pPr>
            <w:r w:rsidRPr="008A635F">
              <w:rPr>
                <w:rFonts w:cs="Calibri"/>
                <w:color w:val="FF0000"/>
                <w:sz w:val="22"/>
                <w:szCs w:val="22"/>
              </w:rPr>
              <w:t>782.460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3BF4BB70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574.105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36C77E32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b/>
                <w:bCs/>
                <w:color w:val="000000"/>
                <w:sz w:val="22"/>
                <w:szCs w:val="22"/>
              </w:rPr>
              <w:t>739.380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1E411B15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94,5%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42B8C314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28,8%</w:t>
            </w:r>
          </w:p>
        </w:tc>
      </w:tr>
      <w:tr w:rsidR="00747985" w:rsidRPr="008A635F" w14:paraId="2B096CA0" w14:textId="77777777" w:rsidTr="00DF3EE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131661B7" w14:textId="71BBF470" w:rsidR="00747985" w:rsidRPr="008A635F" w:rsidRDefault="0047329D" w:rsidP="00DF3EEA">
            <w:pPr>
              <w:spacing w:after="0" w:line="240" w:lineRule="auto"/>
              <w:ind w:firstLineChars="200" w:firstLine="440"/>
              <w:jc w:val="lef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329 Ostali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nespom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>.</w:t>
            </w:r>
            <w:r w:rsidR="00747985" w:rsidRPr="008A635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rash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poslov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5CAF651F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FF0000"/>
                <w:sz w:val="22"/>
                <w:szCs w:val="22"/>
              </w:rPr>
            </w:pPr>
            <w:r w:rsidRPr="008A635F">
              <w:rPr>
                <w:rFonts w:cs="Calibri"/>
                <w:color w:val="FF0000"/>
                <w:sz w:val="22"/>
                <w:szCs w:val="22"/>
              </w:rPr>
              <w:t>292.000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4FC74694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215.916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2AEB8052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b/>
                <w:bCs/>
                <w:color w:val="000000"/>
                <w:sz w:val="22"/>
                <w:szCs w:val="22"/>
              </w:rPr>
              <w:t>274.155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27A69A7D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93,9%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3D8178F0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27,0%</w:t>
            </w:r>
          </w:p>
        </w:tc>
      </w:tr>
      <w:tr w:rsidR="00747985" w:rsidRPr="008A635F" w14:paraId="7E8F6049" w14:textId="77777777" w:rsidTr="00DF3EE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2398FD02" w14:textId="77777777" w:rsidR="00747985" w:rsidRPr="008A635F" w:rsidRDefault="00747985" w:rsidP="00DF3EEA">
            <w:pPr>
              <w:spacing w:after="0" w:line="240" w:lineRule="auto"/>
              <w:ind w:firstLineChars="100" w:firstLine="22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34 Financijski rashodi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3F2F091F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FF0000"/>
                <w:sz w:val="22"/>
                <w:szCs w:val="22"/>
              </w:rPr>
            </w:pPr>
            <w:r w:rsidRPr="008A635F">
              <w:rPr>
                <w:rFonts w:cs="Calibri"/>
                <w:color w:val="FF0000"/>
                <w:sz w:val="22"/>
                <w:szCs w:val="22"/>
              </w:rPr>
              <w:t>72.470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0A7DCA79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22.385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16CD4021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b/>
                <w:bCs/>
                <w:color w:val="000000"/>
                <w:sz w:val="22"/>
                <w:szCs w:val="22"/>
              </w:rPr>
              <w:t>69.740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5B21DFFE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96,2%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3D9B0158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211,5%</w:t>
            </w:r>
          </w:p>
        </w:tc>
      </w:tr>
      <w:tr w:rsidR="00747985" w:rsidRPr="008A635F" w14:paraId="50FFFBFB" w14:textId="77777777" w:rsidTr="00DF3EEA">
        <w:trPr>
          <w:trHeight w:val="300"/>
        </w:trPr>
        <w:tc>
          <w:tcPr>
            <w:tcW w:w="3828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5D6DD01F" w14:textId="77777777" w:rsidR="00747985" w:rsidRPr="008A635F" w:rsidRDefault="00747985" w:rsidP="00DF3EEA">
            <w:pPr>
              <w:spacing w:after="0" w:line="240" w:lineRule="auto"/>
              <w:ind w:firstLineChars="200" w:firstLine="440"/>
              <w:jc w:val="lef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342 Kamate za primljene kredite</w:t>
            </w:r>
          </w:p>
        </w:tc>
        <w:tc>
          <w:tcPr>
            <w:tcW w:w="1226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58D61BFD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FF0000"/>
                <w:sz w:val="22"/>
                <w:szCs w:val="22"/>
              </w:rPr>
            </w:pPr>
            <w:r w:rsidRPr="008A635F">
              <w:rPr>
                <w:rFonts w:cs="Calibri"/>
                <w:color w:val="FF0000"/>
                <w:sz w:val="22"/>
                <w:szCs w:val="22"/>
              </w:rPr>
              <w:t>66.470</w:t>
            </w:r>
          </w:p>
        </w:tc>
        <w:tc>
          <w:tcPr>
            <w:tcW w:w="1226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28FC93E0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6.855</w:t>
            </w:r>
          </w:p>
        </w:tc>
        <w:tc>
          <w:tcPr>
            <w:tcW w:w="124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7CC1BF7B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b/>
                <w:bCs/>
                <w:color w:val="000000"/>
                <w:sz w:val="22"/>
                <w:szCs w:val="22"/>
              </w:rPr>
              <w:t>66.490</w:t>
            </w:r>
          </w:p>
        </w:tc>
        <w:tc>
          <w:tcPr>
            <w:tcW w:w="112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2FDBB9FC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109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1B7ACC65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870,0%</w:t>
            </w:r>
          </w:p>
        </w:tc>
      </w:tr>
      <w:tr w:rsidR="00747985" w:rsidRPr="008A635F" w14:paraId="5C2FE3DC" w14:textId="77777777" w:rsidTr="00DF3EE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0772BC5B" w14:textId="77777777" w:rsidR="00747985" w:rsidRPr="008A635F" w:rsidRDefault="00747985" w:rsidP="00DF3EEA">
            <w:pPr>
              <w:spacing w:after="0" w:line="240" w:lineRule="auto"/>
              <w:ind w:firstLineChars="200" w:firstLine="44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343 Ostali financijski rashodi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57B09F50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FF0000"/>
                <w:sz w:val="22"/>
                <w:szCs w:val="22"/>
              </w:rPr>
            </w:pPr>
            <w:r w:rsidRPr="008A635F">
              <w:rPr>
                <w:rFonts w:cs="Calibri"/>
                <w:color w:val="FF0000"/>
                <w:sz w:val="22"/>
                <w:szCs w:val="22"/>
              </w:rPr>
              <w:t>6.000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2DDC9901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15.531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02E68625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b/>
                <w:bCs/>
                <w:color w:val="000000"/>
                <w:sz w:val="22"/>
                <w:szCs w:val="22"/>
              </w:rPr>
              <w:t>3.250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60B4F78E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54,2%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1989F2AF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-79,1%</w:t>
            </w:r>
          </w:p>
        </w:tc>
      </w:tr>
      <w:tr w:rsidR="00747985" w:rsidRPr="008A635F" w14:paraId="6C325652" w14:textId="77777777" w:rsidTr="00DF3EE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34456948" w14:textId="77777777" w:rsidR="00747985" w:rsidRPr="008A635F" w:rsidRDefault="00747985" w:rsidP="00DF3EEA">
            <w:pPr>
              <w:spacing w:after="0" w:line="240" w:lineRule="auto"/>
              <w:ind w:firstLineChars="100" w:firstLine="22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38 Ostali rashodi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65E4BA62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FF0000"/>
                <w:sz w:val="22"/>
                <w:szCs w:val="22"/>
              </w:rPr>
            </w:pPr>
            <w:r w:rsidRPr="008A635F">
              <w:rPr>
                <w:rFonts w:cs="Calibri"/>
                <w:color w:val="FF0000"/>
                <w:sz w:val="22"/>
                <w:szCs w:val="22"/>
              </w:rPr>
              <w:t>240.000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12CF2988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278.809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3078F769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b/>
                <w:bCs/>
                <w:color w:val="000000"/>
                <w:sz w:val="22"/>
                <w:szCs w:val="22"/>
              </w:rPr>
              <w:t>300.185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2BB8490B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125,1%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57D6F2ED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7,7%</w:t>
            </w:r>
          </w:p>
        </w:tc>
      </w:tr>
      <w:tr w:rsidR="00747985" w:rsidRPr="008A635F" w14:paraId="096FBB4B" w14:textId="77777777" w:rsidTr="00DF3EEA">
        <w:trPr>
          <w:trHeight w:val="300"/>
        </w:trPr>
        <w:tc>
          <w:tcPr>
            <w:tcW w:w="3828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62267B07" w14:textId="77777777" w:rsidR="00747985" w:rsidRPr="008A635F" w:rsidRDefault="00747985" w:rsidP="00DF3EEA">
            <w:pPr>
              <w:spacing w:after="0" w:line="240" w:lineRule="auto"/>
              <w:ind w:firstLineChars="200" w:firstLine="44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383 Kazne, penali i naknade štete</w:t>
            </w:r>
          </w:p>
        </w:tc>
        <w:tc>
          <w:tcPr>
            <w:tcW w:w="1226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794AA377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FF0000"/>
                <w:sz w:val="22"/>
                <w:szCs w:val="22"/>
              </w:rPr>
            </w:pPr>
            <w:r w:rsidRPr="008A635F">
              <w:rPr>
                <w:rFonts w:cs="Calibri"/>
                <w:color w:val="FF0000"/>
                <w:sz w:val="22"/>
                <w:szCs w:val="22"/>
              </w:rPr>
              <w:t>240.000</w:t>
            </w:r>
          </w:p>
        </w:tc>
        <w:tc>
          <w:tcPr>
            <w:tcW w:w="1226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3F6E09F6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278.809</w:t>
            </w:r>
          </w:p>
        </w:tc>
        <w:tc>
          <w:tcPr>
            <w:tcW w:w="124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7B80F469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b/>
                <w:bCs/>
                <w:color w:val="000000"/>
                <w:sz w:val="22"/>
                <w:szCs w:val="22"/>
              </w:rPr>
              <w:t>300.185</w:t>
            </w:r>
          </w:p>
        </w:tc>
        <w:tc>
          <w:tcPr>
            <w:tcW w:w="112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1D2D5C61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125,1%</w:t>
            </w:r>
          </w:p>
        </w:tc>
        <w:tc>
          <w:tcPr>
            <w:tcW w:w="1109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703DAF01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7,7%</w:t>
            </w:r>
          </w:p>
        </w:tc>
      </w:tr>
      <w:tr w:rsidR="00747985" w:rsidRPr="008A635F" w14:paraId="53BC7F0B" w14:textId="77777777" w:rsidTr="00DF3EE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8EA9DB" w:fill="8EA9DB"/>
            <w:noWrap/>
            <w:vAlign w:val="bottom"/>
            <w:hideMark/>
          </w:tcPr>
          <w:p w14:paraId="1E70DE86" w14:textId="77777777" w:rsidR="00747985" w:rsidRPr="008A635F" w:rsidRDefault="00747985" w:rsidP="00DF3EEA">
            <w:pPr>
              <w:spacing w:after="0" w:line="240" w:lineRule="auto"/>
              <w:ind w:firstLine="0"/>
              <w:jc w:val="left"/>
              <w:rPr>
                <w:rFonts w:cs="Calibri"/>
                <w:color w:val="FFFFFF"/>
                <w:sz w:val="22"/>
                <w:szCs w:val="22"/>
              </w:rPr>
            </w:pPr>
            <w:r>
              <w:rPr>
                <w:rFonts w:cs="Calibri"/>
                <w:color w:val="FFFFFF"/>
                <w:sz w:val="22"/>
                <w:szCs w:val="22"/>
              </w:rPr>
              <w:lastRenderedPageBreak/>
              <w:t>4 Rashodi za nab.</w:t>
            </w:r>
            <w:r w:rsidRPr="008A635F">
              <w:rPr>
                <w:rFonts w:cs="Calibri"/>
                <w:color w:val="FFFFFF"/>
                <w:sz w:val="22"/>
                <w:szCs w:val="22"/>
              </w:rPr>
              <w:t xml:space="preserve"> nefinancijske imovine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8EA9DB" w:fill="8EA9DB"/>
            <w:noWrap/>
            <w:vAlign w:val="bottom"/>
            <w:hideMark/>
          </w:tcPr>
          <w:p w14:paraId="6B158FF2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FF0000"/>
                <w:sz w:val="22"/>
                <w:szCs w:val="22"/>
              </w:rPr>
            </w:pPr>
            <w:r w:rsidRPr="008A635F">
              <w:rPr>
                <w:rFonts w:cs="Calibri"/>
                <w:color w:val="FF0000"/>
                <w:sz w:val="22"/>
                <w:szCs w:val="22"/>
              </w:rPr>
              <w:t>98.700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8EA9DB" w:fill="8EA9DB"/>
            <w:noWrap/>
            <w:vAlign w:val="bottom"/>
            <w:hideMark/>
          </w:tcPr>
          <w:p w14:paraId="35402BE1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FFFFFF"/>
                <w:sz w:val="22"/>
                <w:szCs w:val="22"/>
              </w:rPr>
            </w:pPr>
            <w:r w:rsidRPr="008A635F">
              <w:rPr>
                <w:rFonts w:cs="Calibri"/>
                <w:color w:val="FFFFFF"/>
                <w:sz w:val="22"/>
                <w:szCs w:val="22"/>
              </w:rPr>
              <w:t>4.561.801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8EA9DB" w:fill="8EA9DB"/>
            <w:noWrap/>
            <w:vAlign w:val="bottom"/>
            <w:hideMark/>
          </w:tcPr>
          <w:p w14:paraId="79E01F0A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8A635F">
              <w:rPr>
                <w:rFonts w:cs="Calibri"/>
                <w:b/>
                <w:bCs/>
                <w:color w:val="FFFFFF"/>
                <w:sz w:val="22"/>
                <w:szCs w:val="22"/>
              </w:rPr>
              <w:t>67.221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8EA9DB" w:fill="8EA9DB"/>
            <w:noWrap/>
            <w:vAlign w:val="bottom"/>
            <w:hideMark/>
          </w:tcPr>
          <w:p w14:paraId="2613CDB4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FFFFFF"/>
                <w:sz w:val="22"/>
                <w:szCs w:val="22"/>
              </w:rPr>
            </w:pPr>
            <w:r w:rsidRPr="008A635F">
              <w:rPr>
                <w:rFonts w:cs="Calibri"/>
                <w:color w:val="FFFFFF"/>
                <w:sz w:val="22"/>
                <w:szCs w:val="22"/>
              </w:rPr>
              <w:t>68,1%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8EA9DB" w:fill="8EA9DB"/>
            <w:noWrap/>
            <w:vAlign w:val="bottom"/>
            <w:hideMark/>
          </w:tcPr>
          <w:p w14:paraId="60C72AA9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FFFFFF"/>
                <w:sz w:val="22"/>
                <w:szCs w:val="22"/>
              </w:rPr>
            </w:pPr>
            <w:r w:rsidRPr="008A635F">
              <w:rPr>
                <w:rFonts w:cs="Calibri"/>
                <w:color w:val="FFFFFF"/>
                <w:sz w:val="22"/>
                <w:szCs w:val="22"/>
              </w:rPr>
              <w:t>-98,5%</w:t>
            </w:r>
          </w:p>
        </w:tc>
      </w:tr>
      <w:tr w:rsidR="00747985" w:rsidRPr="008A635F" w14:paraId="6F404720" w14:textId="77777777" w:rsidTr="00DF3EE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0162A72F" w14:textId="77777777" w:rsidR="00747985" w:rsidRPr="008A635F" w:rsidRDefault="00747985" w:rsidP="00DF3EEA">
            <w:pPr>
              <w:spacing w:after="0" w:line="240" w:lineRule="auto"/>
              <w:ind w:firstLineChars="100" w:firstLine="22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41 Rashodi za nabavu neproizvedene dugotrajne imovine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40B475EA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FF0000"/>
                <w:sz w:val="22"/>
                <w:szCs w:val="22"/>
              </w:rPr>
            </w:pPr>
            <w:r w:rsidRPr="008A635F">
              <w:rPr>
                <w:rFonts w:cs="Calibri"/>
                <w:color w:val="FF0000"/>
                <w:sz w:val="22"/>
                <w:szCs w:val="22"/>
              </w:rPr>
              <w:t>12.300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661C628E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2.628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69FDD101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b/>
                <w:bCs/>
                <w:color w:val="000000"/>
                <w:sz w:val="22"/>
                <w:szCs w:val="22"/>
              </w:rPr>
              <w:t>20.385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4947F106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165,7%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67F64EF7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675,7%</w:t>
            </w:r>
          </w:p>
        </w:tc>
      </w:tr>
      <w:tr w:rsidR="00747985" w:rsidRPr="008A635F" w14:paraId="4480064B" w14:textId="77777777" w:rsidTr="00DF3EEA">
        <w:trPr>
          <w:trHeight w:val="300"/>
        </w:trPr>
        <w:tc>
          <w:tcPr>
            <w:tcW w:w="3828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0FF577F6" w14:textId="77777777" w:rsidR="00747985" w:rsidRPr="008A635F" w:rsidRDefault="00747985" w:rsidP="00DF3EEA">
            <w:pPr>
              <w:spacing w:after="0" w:line="240" w:lineRule="auto"/>
              <w:ind w:firstLineChars="200" w:firstLine="44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412 Nematerijalna imovina</w:t>
            </w:r>
          </w:p>
        </w:tc>
        <w:tc>
          <w:tcPr>
            <w:tcW w:w="1226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5707CA0B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FF0000"/>
                <w:sz w:val="22"/>
                <w:szCs w:val="22"/>
              </w:rPr>
            </w:pPr>
            <w:r w:rsidRPr="008A635F">
              <w:rPr>
                <w:rFonts w:cs="Calibri"/>
                <w:color w:val="FF0000"/>
                <w:sz w:val="22"/>
                <w:szCs w:val="22"/>
              </w:rPr>
              <w:t>12.300</w:t>
            </w:r>
          </w:p>
        </w:tc>
        <w:tc>
          <w:tcPr>
            <w:tcW w:w="1226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60DEF23E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2.628</w:t>
            </w:r>
          </w:p>
        </w:tc>
        <w:tc>
          <w:tcPr>
            <w:tcW w:w="124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64002417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b/>
                <w:bCs/>
                <w:color w:val="000000"/>
                <w:sz w:val="22"/>
                <w:szCs w:val="22"/>
              </w:rPr>
              <w:t>20.385</w:t>
            </w:r>
          </w:p>
        </w:tc>
        <w:tc>
          <w:tcPr>
            <w:tcW w:w="112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747571F3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165,7%</w:t>
            </w:r>
          </w:p>
        </w:tc>
        <w:tc>
          <w:tcPr>
            <w:tcW w:w="1109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58A1712F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675,7%</w:t>
            </w:r>
          </w:p>
        </w:tc>
      </w:tr>
      <w:tr w:rsidR="00747985" w:rsidRPr="008A635F" w14:paraId="2A5ECE35" w14:textId="77777777" w:rsidTr="00DF3EE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7E7E4C80" w14:textId="77777777" w:rsidR="00747985" w:rsidRPr="008A635F" w:rsidRDefault="00747985" w:rsidP="00DF3EEA">
            <w:pPr>
              <w:spacing w:after="0" w:line="240" w:lineRule="auto"/>
              <w:ind w:firstLineChars="100" w:firstLine="22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42 Rashodi za nabavu proizvedene dugotrajne imovine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4E49C1DC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FF0000"/>
                <w:sz w:val="22"/>
                <w:szCs w:val="22"/>
              </w:rPr>
            </w:pPr>
            <w:r w:rsidRPr="008A635F">
              <w:rPr>
                <w:rFonts w:cs="Calibri"/>
                <w:color w:val="FF0000"/>
                <w:sz w:val="22"/>
                <w:szCs w:val="22"/>
              </w:rPr>
              <w:t>86.400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7E9EFC65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4.559.173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3445A8FA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b/>
                <w:bCs/>
                <w:color w:val="000000"/>
                <w:sz w:val="22"/>
                <w:szCs w:val="22"/>
              </w:rPr>
              <w:t>46.836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6F704314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54,2%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40CA4250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-99,0%</w:t>
            </w:r>
          </w:p>
        </w:tc>
      </w:tr>
      <w:tr w:rsidR="00747985" w:rsidRPr="008A635F" w14:paraId="7A7A481F" w14:textId="77777777" w:rsidTr="00DF3EEA">
        <w:trPr>
          <w:trHeight w:val="300"/>
        </w:trPr>
        <w:tc>
          <w:tcPr>
            <w:tcW w:w="3828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12198440" w14:textId="77777777" w:rsidR="00747985" w:rsidRPr="008A635F" w:rsidRDefault="00747985" w:rsidP="00DF3EEA">
            <w:pPr>
              <w:spacing w:after="0" w:line="240" w:lineRule="auto"/>
              <w:ind w:firstLineChars="200" w:firstLine="44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422 Postrojenja i oprema</w:t>
            </w:r>
          </w:p>
        </w:tc>
        <w:tc>
          <w:tcPr>
            <w:tcW w:w="1226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77F3392E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FF0000"/>
                <w:sz w:val="22"/>
                <w:szCs w:val="22"/>
              </w:rPr>
            </w:pPr>
            <w:r w:rsidRPr="008A635F">
              <w:rPr>
                <w:rFonts w:cs="Calibri"/>
                <w:color w:val="FF0000"/>
                <w:sz w:val="22"/>
                <w:szCs w:val="22"/>
              </w:rPr>
              <w:t>86.400</w:t>
            </w:r>
          </w:p>
        </w:tc>
        <w:tc>
          <w:tcPr>
            <w:tcW w:w="1226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48E580D0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23.039</w:t>
            </w:r>
          </w:p>
        </w:tc>
        <w:tc>
          <w:tcPr>
            <w:tcW w:w="124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278B8301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b/>
                <w:bCs/>
                <w:color w:val="000000"/>
                <w:sz w:val="22"/>
                <w:szCs w:val="22"/>
              </w:rPr>
              <w:t>46.836</w:t>
            </w:r>
          </w:p>
        </w:tc>
        <w:tc>
          <w:tcPr>
            <w:tcW w:w="112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2E2D963B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54,2%</w:t>
            </w:r>
          </w:p>
        </w:tc>
        <w:tc>
          <w:tcPr>
            <w:tcW w:w="1109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25E9193F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103,3%</w:t>
            </w:r>
          </w:p>
        </w:tc>
      </w:tr>
      <w:tr w:rsidR="00747985" w:rsidRPr="008A635F" w14:paraId="3CA0E9CB" w14:textId="77777777" w:rsidTr="00DF3EE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402DBCFB" w14:textId="77777777" w:rsidR="00747985" w:rsidRPr="008A635F" w:rsidRDefault="00747985" w:rsidP="00DF3EEA">
            <w:pPr>
              <w:spacing w:after="0" w:line="240" w:lineRule="auto"/>
              <w:ind w:firstLineChars="200" w:firstLine="44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423 Prijevozna sredstva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35B7BC6E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FF0000"/>
                <w:sz w:val="22"/>
                <w:szCs w:val="22"/>
              </w:rPr>
            </w:pPr>
            <w:r w:rsidRPr="008A635F">
              <w:rPr>
                <w:rFonts w:cs="Calibri"/>
                <w:color w:val="FF0000"/>
                <w:sz w:val="22"/>
                <w:szCs w:val="22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64C49A3B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4.536.134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655DB434" w14:textId="77777777" w:rsidR="00747985" w:rsidRPr="008A635F" w:rsidRDefault="00747985" w:rsidP="00DF3EEA">
            <w:pPr>
              <w:spacing w:after="0" w:line="240" w:lineRule="auto"/>
              <w:ind w:firstLine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56D728DF" w14:textId="77777777" w:rsidR="00747985" w:rsidRPr="008A635F" w:rsidRDefault="00747985" w:rsidP="00DF3EEA">
            <w:pPr>
              <w:spacing w:after="0" w:line="240" w:lineRule="auto"/>
              <w:ind w:firstLine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1747E821" w14:textId="77777777" w:rsidR="00747985" w:rsidRPr="008A635F" w:rsidRDefault="00747985" w:rsidP="00DF3EEA">
            <w:pPr>
              <w:spacing w:after="0" w:line="240" w:lineRule="auto"/>
              <w:ind w:firstLine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747985" w:rsidRPr="008A635F" w14:paraId="68EB47EF" w14:textId="77777777" w:rsidTr="00DF3EEA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8EA9DB" w:fill="8EA9DB"/>
            <w:noWrap/>
            <w:vAlign w:val="bottom"/>
            <w:hideMark/>
          </w:tcPr>
          <w:p w14:paraId="0435E63E" w14:textId="77777777" w:rsidR="00747985" w:rsidRPr="008A635F" w:rsidRDefault="00747985" w:rsidP="00DF3EEA">
            <w:pPr>
              <w:spacing w:after="0" w:line="240" w:lineRule="auto"/>
              <w:ind w:firstLine="0"/>
              <w:jc w:val="left"/>
              <w:rPr>
                <w:rFonts w:cs="Calibri"/>
                <w:color w:val="FFFFFF"/>
                <w:sz w:val="22"/>
                <w:szCs w:val="22"/>
              </w:rPr>
            </w:pPr>
            <w:r w:rsidRPr="008A635F">
              <w:rPr>
                <w:rFonts w:cs="Calibri"/>
                <w:color w:val="FFFFFF"/>
                <w:sz w:val="22"/>
                <w:szCs w:val="22"/>
              </w:rPr>
              <w:t>5 Izdaci za otplate zajmova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8EA9DB" w:fill="8EA9DB"/>
            <w:noWrap/>
            <w:vAlign w:val="bottom"/>
            <w:hideMark/>
          </w:tcPr>
          <w:p w14:paraId="22CE95AB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FF0000"/>
                <w:sz w:val="22"/>
                <w:szCs w:val="22"/>
              </w:rPr>
            </w:pPr>
            <w:r w:rsidRPr="008A635F">
              <w:rPr>
                <w:rFonts w:cs="Calibri"/>
                <w:color w:val="FF0000"/>
                <w:sz w:val="22"/>
                <w:szCs w:val="22"/>
              </w:rPr>
              <w:t>907.200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8EA9DB" w:fill="8EA9DB"/>
            <w:noWrap/>
            <w:vAlign w:val="bottom"/>
            <w:hideMark/>
          </w:tcPr>
          <w:p w14:paraId="6A507CFD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FFFFFF"/>
                <w:sz w:val="22"/>
                <w:szCs w:val="22"/>
              </w:rPr>
            </w:pPr>
            <w:r w:rsidRPr="008A635F">
              <w:rPr>
                <w:rFonts w:cs="Calibri"/>
                <w:color w:val="FFFFFF"/>
                <w:sz w:val="22"/>
                <w:szCs w:val="22"/>
              </w:rPr>
              <w:t>453.613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8EA9DB" w:fill="8EA9DB"/>
            <w:noWrap/>
            <w:vAlign w:val="bottom"/>
            <w:hideMark/>
          </w:tcPr>
          <w:p w14:paraId="2CD7D4C5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8A635F">
              <w:rPr>
                <w:rFonts w:cs="Calibri"/>
                <w:b/>
                <w:bCs/>
                <w:color w:val="FFFFFF"/>
                <w:sz w:val="22"/>
                <w:szCs w:val="22"/>
              </w:rPr>
              <w:t>907.227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8EA9DB" w:fill="8EA9DB"/>
            <w:noWrap/>
            <w:vAlign w:val="bottom"/>
            <w:hideMark/>
          </w:tcPr>
          <w:p w14:paraId="6F0A61C1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FFFFFF"/>
                <w:sz w:val="22"/>
                <w:szCs w:val="22"/>
              </w:rPr>
            </w:pPr>
            <w:r w:rsidRPr="008A635F">
              <w:rPr>
                <w:rFonts w:cs="Calibri"/>
                <w:color w:val="FFFFFF"/>
                <w:sz w:val="22"/>
                <w:szCs w:val="22"/>
              </w:rPr>
              <w:t>100,0%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8EA9DB" w:fill="8EA9DB"/>
            <w:noWrap/>
            <w:vAlign w:val="bottom"/>
            <w:hideMark/>
          </w:tcPr>
          <w:p w14:paraId="7C55214B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color w:val="FFFFFF"/>
                <w:sz w:val="22"/>
                <w:szCs w:val="22"/>
              </w:rPr>
            </w:pPr>
            <w:r w:rsidRPr="008A635F">
              <w:rPr>
                <w:rFonts w:cs="Calibri"/>
                <w:color w:val="FFFFFF"/>
                <w:sz w:val="22"/>
                <w:szCs w:val="22"/>
              </w:rPr>
              <w:t>100,0%</w:t>
            </w:r>
          </w:p>
        </w:tc>
      </w:tr>
      <w:tr w:rsidR="00747985" w:rsidRPr="008A635F" w14:paraId="72DFCC26" w14:textId="77777777" w:rsidTr="00DF3EEA">
        <w:trPr>
          <w:trHeight w:val="315"/>
        </w:trPr>
        <w:tc>
          <w:tcPr>
            <w:tcW w:w="3828" w:type="dxa"/>
            <w:tcBorders>
              <w:top w:val="double" w:sz="6" w:space="0" w:color="3054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883F" w14:textId="77777777" w:rsidR="00747985" w:rsidRPr="008A635F" w:rsidRDefault="00747985" w:rsidP="00DF3EEA">
            <w:pPr>
              <w:spacing w:after="0" w:line="240" w:lineRule="auto"/>
              <w:ind w:firstLine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b/>
                <w:bCs/>
                <w:color w:val="000000"/>
                <w:sz w:val="22"/>
                <w:szCs w:val="22"/>
              </w:rPr>
              <w:t>Ukupni RASHODI i IZDACI (3+4+5)</w:t>
            </w:r>
          </w:p>
        </w:tc>
        <w:tc>
          <w:tcPr>
            <w:tcW w:w="1226" w:type="dxa"/>
            <w:tcBorders>
              <w:top w:val="double" w:sz="6" w:space="0" w:color="3054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AC5B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b/>
                <w:bCs/>
                <w:color w:val="FF0000"/>
                <w:sz w:val="22"/>
                <w:szCs w:val="22"/>
              </w:rPr>
            </w:pPr>
            <w:r w:rsidRPr="008A635F">
              <w:rPr>
                <w:rFonts w:cs="Calibri"/>
                <w:b/>
                <w:bCs/>
                <w:color w:val="FF0000"/>
                <w:sz w:val="22"/>
                <w:szCs w:val="22"/>
              </w:rPr>
              <w:t>15.885.730</w:t>
            </w:r>
          </w:p>
        </w:tc>
        <w:tc>
          <w:tcPr>
            <w:tcW w:w="1226" w:type="dxa"/>
            <w:tcBorders>
              <w:top w:val="double" w:sz="6" w:space="0" w:color="3054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063B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b/>
                <w:bCs/>
                <w:color w:val="000000"/>
                <w:sz w:val="22"/>
                <w:szCs w:val="22"/>
              </w:rPr>
              <w:t>18.366.613</w:t>
            </w:r>
          </w:p>
        </w:tc>
        <w:tc>
          <w:tcPr>
            <w:tcW w:w="1240" w:type="dxa"/>
            <w:tcBorders>
              <w:top w:val="double" w:sz="6" w:space="0" w:color="3054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0A34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b/>
                <w:bCs/>
                <w:color w:val="000000"/>
                <w:sz w:val="22"/>
                <w:szCs w:val="22"/>
              </w:rPr>
              <w:t>16.566.092</w:t>
            </w:r>
          </w:p>
        </w:tc>
        <w:tc>
          <w:tcPr>
            <w:tcW w:w="1120" w:type="dxa"/>
            <w:tcBorders>
              <w:top w:val="double" w:sz="6" w:space="0" w:color="3054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6800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b/>
                <w:bCs/>
                <w:color w:val="000000"/>
                <w:sz w:val="22"/>
                <w:szCs w:val="22"/>
              </w:rPr>
              <w:t>104,3%</w:t>
            </w:r>
          </w:p>
        </w:tc>
        <w:tc>
          <w:tcPr>
            <w:tcW w:w="1109" w:type="dxa"/>
            <w:tcBorders>
              <w:top w:val="double" w:sz="6" w:space="0" w:color="3054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8C2F" w14:textId="77777777" w:rsidR="00747985" w:rsidRPr="008A635F" w:rsidRDefault="00747985" w:rsidP="00DF3EEA">
            <w:pPr>
              <w:spacing w:after="0" w:line="240" w:lineRule="auto"/>
              <w:ind w:firstLine="0"/>
              <w:jc w:val="righ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A635F">
              <w:rPr>
                <w:rFonts w:cs="Calibri"/>
                <w:b/>
                <w:bCs/>
                <w:color w:val="000000"/>
                <w:sz w:val="22"/>
                <w:szCs w:val="22"/>
              </w:rPr>
              <w:t>-9,8%</w:t>
            </w:r>
          </w:p>
        </w:tc>
      </w:tr>
    </w:tbl>
    <w:p w14:paraId="77DC2ED4" w14:textId="77777777" w:rsidR="001F7551" w:rsidRDefault="001F7551" w:rsidP="00537811">
      <w:pPr>
        <w:rPr>
          <w:rFonts w:asciiTheme="minorHAnsi" w:hAnsiTheme="minorHAnsi" w:cstheme="minorHAnsi"/>
          <w:sz w:val="22"/>
          <w:szCs w:val="22"/>
        </w:rPr>
      </w:pPr>
    </w:p>
    <w:p w14:paraId="0233234B" w14:textId="1B21B9A8" w:rsidR="00EF2CEB" w:rsidRPr="00110644" w:rsidRDefault="00DA4F94" w:rsidP="00537811">
      <w:pPr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 xml:space="preserve">Kod pojedinih </w:t>
      </w:r>
      <w:r w:rsidR="00C274EF" w:rsidRPr="00110644">
        <w:rPr>
          <w:rFonts w:asciiTheme="minorHAnsi" w:hAnsiTheme="minorHAnsi" w:cstheme="minorHAnsi"/>
          <w:sz w:val="22"/>
          <w:szCs w:val="22"/>
        </w:rPr>
        <w:t>rashoda na drugoj razini računskog plana, postignute su, uvjetno rečeno, uštede u odnosu na plan,</w:t>
      </w:r>
      <w:r w:rsidR="004104E0" w:rsidRPr="00110644">
        <w:rPr>
          <w:rFonts w:asciiTheme="minorHAnsi" w:hAnsiTheme="minorHAnsi" w:cstheme="minorHAnsi"/>
          <w:sz w:val="22"/>
          <w:szCs w:val="22"/>
        </w:rPr>
        <w:t xml:space="preserve"> obzirom da neki planirani troškovi nisu realizirani, dok su neki rashodi </w:t>
      </w:r>
      <w:r w:rsidRPr="00110644">
        <w:rPr>
          <w:rFonts w:asciiTheme="minorHAnsi" w:hAnsiTheme="minorHAnsi" w:cstheme="minorHAnsi"/>
          <w:sz w:val="22"/>
          <w:szCs w:val="22"/>
        </w:rPr>
        <w:t xml:space="preserve">veći od planiranih. </w:t>
      </w:r>
      <w:r w:rsidR="00C274EF" w:rsidRPr="00110644">
        <w:rPr>
          <w:rFonts w:asciiTheme="minorHAnsi" w:hAnsiTheme="minorHAnsi" w:cstheme="minorHAnsi"/>
          <w:sz w:val="22"/>
          <w:szCs w:val="22"/>
        </w:rPr>
        <w:t xml:space="preserve">Iskazana struktura rashoda karakteristična je za djelatnost </w:t>
      </w:r>
      <w:r w:rsidR="00826922" w:rsidRPr="00110644">
        <w:rPr>
          <w:rFonts w:asciiTheme="minorHAnsi" w:hAnsiTheme="minorHAnsi" w:cstheme="minorHAnsi"/>
          <w:sz w:val="22"/>
          <w:szCs w:val="22"/>
        </w:rPr>
        <w:t xml:space="preserve">Zavoda </w:t>
      </w:r>
      <w:r w:rsidR="00C274EF" w:rsidRPr="00110644">
        <w:rPr>
          <w:rFonts w:asciiTheme="minorHAnsi" w:hAnsiTheme="minorHAnsi" w:cstheme="minorHAnsi"/>
          <w:sz w:val="22"/>
          <w:szCs w:val="22"/>
        </w:rPr>
        <w:t>(Tablica 4, Grafikon 2).</w:t>
      </w:r>
    </w:p>
    <w:p w14:paraId="71D1C2A6" w14:textId="6D65FFD9" w:rsidR="00DC5B0B" w:rsidRPr="00110644" w:rsidRDefault="00DC5B0B" w:rsidP="00206EA6">
      <w:pPr>
        <w:pStyle w:val="Caption"/>
        <w:rPr>
          <w:rFonts w:asciiTheme="minorHAnsi" w:hAnsiTheme="minorHAnsi" w:cstheme="minorHAnsi"/>
        </w:rPr>
      </w:pPr>
      <w:r w:rsidRPr="00110644">
        <w:rPr>
          <w:rFonts w:asciiTheme="minorHAnsi" w:hAnsiTheme="minorHAnsi" w:cstheme="minorHAnsi"/>
        </w:rPr>
        <w:t>Grafikon 2: Struktura rashoda poslovanja</w:t>
      </w:r>
      <w:r w:rsidR="00747985">
        <w:rPr>
          <w:rFonts w:asciiTheme="minorHAnsi" w:hAnsiTheme="minorHAnsi" w:cstheme="minorHAnsi"/>
        </w:rPr>
        <w:t xml:space="preserve"> 2023.</w:t>
      </w:r>
    </w:p>
    <w:p w14:paraId="1A1BE02B" w14:textId="2CA15893" w:rsidR="007B6799" w:rsidRPr="00110644" w:rsidRDefault="00DC5B0B">
      <w:pPr>
        <w:spacing w:after="0" w:line="240" w:lineRule="auto"/>
        <w:ind w:firstLine="0"/>
        <w:jc w:val="left"/>
        <w:rPr>
          <w:rFonts w:asciiTheme="minorHAnsi" w:hAnsiTheme="minorHAnsi" w:cstheme="minorHAnsi"/>
          <w:i/>
          <w:sz w:val="20"/>
          <w:szCs w:val="20"/>
        </w:rPr>
      </w:pPr>
      <w:bookmarkStart w:id="6" w:name="_Toc472786076"/>
      <w:r w:rsidRPr="0011064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B3933D6" wp14:editId="58EDA919">
            <wp:extent cx="5734050" cy="2437352"/>
            <wp:effectExtent l="0" t="0" r="0" b="1270"/>
            <wp:docPr id="22397767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97767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1741" cy="244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02AF4" w14:textId="77777777" w:rsidR="00206EA6" w:rsidRPr="00110644" w:rsidRDefault="00206EA6" w:rsidP="0096374E">
      <w:pPr>
        <w:pStyle w:val="NoSpacing"/>
        <w:jc w:val="left"/>
        <w:rPr>
          <w:rFonts w:asciiTheme="minorHAnsi" w:hAnsiTheme="minorHAnsi" w:cstheme="minorHAnsi"/>
          <w:i/>
          <w:sz w:val="20"/>
          <w:szCs w:val="20"/>
        </w:rPr>
      </w:pPr>
    </w:p>
    <w:bookmarkEnd w:id="6"/>
    <w:p w14:paraId="42CC905A" w14:textId="753C14C5" w:rsidR="00C274EF" w:rsidRPr="00110644" w:rsidRDefault="00C274EF" w:rsidP="00C274EF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 xml:space="preserve">Sve </w:t>
      </w:r>
      <w:r w:rsidRPr="00110644">
        <w:rPr>
          <w:rFonts w:asciiTheme="minorHAnsi" w:hAnsiTheme="minorHAnsi" w:cstheme="minorHAnsi"/>
          <w:b/>
          <w:sz w:val="22"/>
          <w:szCs w:val="22"/>
          <w:u w:val="single"/>
        </w:rPr>
        <w:t>obveze prema radnicima</w:t>
      </w:r>
      <w:r w:rsidRPr="00110644">
        <w:rPr>
          <w:rFonts w:asciiTheme="minorHAnsi" w:hAnsiTheme="minorHAnsi" w:cstheme="minorHAnsi"/>
          <w:sz w:val="22"/>
          <w:szCs w:val="22"/>
        </w:rPr>
        <w:t xml:space="preserve"> u smislu plaće ili ostalih primanja izvršene su pravovremeno u iznosima utvrđenim Uredbom Vlade RH</w:t>
      </w:r>
      <w:r w:rsidR="000A202A" w:rsidRPr="00110644">
        <w:rPr>
          <w:rFonts w:asciiTheme="minorHAnsi" w:hAnsiTheme="minorHAnsi" w:cstheme="minorHAnsi"/>
          <w:sz w:val="22"/>
          <w:szCs w:val="22"/>
        </w:rPr>
        <w:t xml:space="preserve">, Kolektivnim ugovorom i općim </w:t>
      </w:r>
      <w:r w:rsidRPr="00110644">
        <w:rPr>
          <w:rFonts w:asciiTheme="minorHAnsi" w:hAnsiTheme="minorHAnsi" w:cstheme="minorHAnsi"/>
          <w:sz w:val="22"/>
          <w:szCs w:val="22"/>
        </w:rPr>
        <w:t>aktima po propis</w:t>
      </w:r>
      <w:r w:rsidR="00E83135" w:rsidRPr="00110644">
        <w:rPr>
          <w:rFonts w:asciiTheme="minorHAnsi" w:hAnsiTheme="minorHAnsi" w:cstheme="minorHAnsi"/>
          <w:sz w:val="22"/>
          <w:szCs w:val="22"/>
        </w:rPr>
        <w:t>anoj vrijednosti koeficijen</w:t>
      </w:r>
      <w:r w:rsidR="00BD4A6D" w:rsidRPr="00110644">
        <w:rPr>
          <w:rFonts w:asciiTheme="minorHAnsi" w:hAnsiTheme="minorHAnsi" w:cstheme="minorHAnsi"/>
          <w:sz w:val="22"/>
          <w:szCs w:val="22"/>
        </w:rPr>
        <w:t>a</w:t>
      </w:r>
      <w:r w:rsidR="00E83135" w:rsidRPr="00110644">
        <w:rPr>
          <w:rFonts w:asciiTheme="minorHAnsi" w:hAnsiTheme="minorHAnsi" w:cstheme="minorHAnsi"/>
          <w:sz w:val="22"/>
          <w:szCs w:val="22"/>
        </w:rPr>
        <w:t>ta.</w:t>
      </w:r>
    </w:p>
    <w:p w14:paraId="3CCAAEDA" w14:textId="77777777" w:rsidR="00C274EF" w:rsidRPr="00110644" w:rsidRDefault="00C274EF" w:rsidP="00C274EF">
      <w:pPr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>Od prava utvrđenih Kolektivnim ugovorom pravovremeno i u pripadajućem iznosu isplaćene su:</w:t>
      </w:r>
    </w:p>
    <w:p w14:paraId="46A2B916" w14:textId="77777777" w:rsidR="00C274EF" w:rsidRPr="00110644" w:rsidRDefault="00C274EF" w:rsidP="00537811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>pomoći za vrijeme bolovanja, smrti i sl.</w:t>
      </w:r>
    </w:p>
    <w:p w14:paraId="6BA35D4D" w14:textId="77777777" w:rsidR="007452D4" w:rsidRPr="00110644" w:rsidRDefault="00C274EF" w:rsidP="00537811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>jubilarne nagrade</w:t>
      </w:r>
    </w:p>
    <w:p w14:paraId="753F4AC8" w14:textId="0C236E0D" w:rsidR="00C274EF" w:rsidRPr="00110644" w:rsidRDefault="007452D4" w:rsidP="00537811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 xml:space="preserve">dar u naravi </w:t>
      </w:r>
      <w:r w:rsidR="00D47065" w:rsidRPr="00110644">
        <w:rPr>
          <w:rFonts w:asciiTheme="minorHAnsi" w:hAnsiTheme="minorHAnsi" w:cstheme="minorHAnsi"/>
          <w:sz w:val="22"/>
          <w:szCs w:val="22"/>
        </w:rPr>
        <w:t xml:space="preserve">za Uskrs (poklon bon </w:t>
      </w:r>
      <w:r w:rsidR="00000FCC" w:rsidRPr="00110644">
        <w:rPr>
          <w:rFonts w:asciiTheme="minorHAnsi" w:hAnsiTheme="minorHAnsi" w:cstheme="minorHAnsi"/>
          <w:sz w:val="22"/>
          <w:szCs w:val="22"/>
        </w:rPr>
        <w:t>iskoristiv u trgovačkom maloprodajnom lancu</w:t>
      </w:r>
      <w:r w:rsidR="00D47065" w:rsidRPr="00110644">
        <w:rPr>
          <w:rFonts w:asciiTheme="minorHAnsi" w:hAnsiTheme="minorHAnsi" w:cstheme="minorHAnsi"/>
          <w:sz w:val="22"/>
          <w:szCs w:val="22"/>
        </w:rPr>
        <w:t>)</w:t>
      </w:r>
    </w:p>
    <w:p w14:paraId="1824C595" w14:textId="6D9F451B" w:rsidR="00C274EF" w:rsidRPr="00110644" w:rsidRDefault="005D23C3" w:rsidP="00537811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 xml:space="preserve">darovi djeci za dan Sv. Nikole u iznosu od </w:t>
      </w:r>
      <w:r w:rsidR="00000FCC" w:rsidRPr="00110644">
        <w:rPr>
          <w:rFonts w:asciiTheme="minorHAnsi" w:hAnsiTheme="minorHAnsi" w:cstheme="minorHAnsi"/>
          <w:sz w:val="22"/>
          <w:szCs w:val="22"/>
        </w:rPr>
        <w:t>100 eur</w:t>
      </w:r>
      <w:r w:rsidR="00C274EF" w:rsidRPr="00110644">
        <w:rPr>
          <w:rFonts w:asciiTheme="minorHAnsi" w:hAnsiTheme="minorHAnsi" w:cstheme="minorHAnsi"/>
          <w:sz w:val="22"/>
          <w:szCs w:val="22"/>
        </w:rPr>
        <w:t xml:space="preserve"> po djetetu</w:t>
      </w:r>
    </w:p>
    <w:p w14:paraId="55BCA065" w14:textId="77777777" w:rsidR="00537811" w:rsidRPr="00110644" w:rsidRDefault="00537811" w:rsidP="00537811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>otpremnine za odlazak u mirovinu</w:t>
      </w:r>
    </w:p>
    <w:p w14:paraId="40623688" w14:textId="2E11A513" w:rsidR="00537811" w:rsidRPr="00110644" w:rsidRDefault="00537811" w:rsidP="00537811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>regres za</w:t>
      </w:r>
      <w:r w:rsidR="0052661B" w:rsidRPr="00110644">
        <w:rPr>
          <w:rFonts w:asciiTheme="minorHAnsi" w:hAnsiTheme="minorHAnsi" w:cstheme="minorHAnsi"/>
          <w:sz w:val="22"/>
          <w:szCs w:val="22"/>
        </w:rPr>
        <w:t xml:space="preserve"> godišnji odmor u iznosu od </w:t>
      </w:r>
      <w:r w:rsidR="00000FCC" w:rsidRPr="00110644">
        <w:rPr>
          <w:rFonts w:asciiTheme="minorHAnsi" w:hAnsiTheme="minorHAnsi" w:cstheme="minorHAnsi"/>
          <w:sz w:val="22"/>
          <w:szCs w:val="22"/>
        </w:rPr>
        <w:t>300 eur</w:t>
      </w:r>
    </w:p>
    <w:p w14:paraId="12D2D235" w14:textId="768CD60F" w:rsidR="00537811" w:rsidRPr="00110644" w:rsidRDefault="00537811" w:rsidP="00537811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>božić</w:t>
      </w:r>
      <w:r w:rsidR="005D23C3" w:rsidRPr="00110644">
        <w:rPr>
          <w:rFonts w:asciiTheme="minorHAnsi" w:hAnsiTheme="minorHAnsi" w:cstheme="minorHAnsi"/>
          <w:sz w:val="22"/>
          <w:szCs w:val="22"/>
        </w:rPr>
        <w:t xml:space="preserve">nica u iznosu od </w:t>
      </w:r>
      <w:r w:rsidR="00000FCC" w:rsidRPr="00110644">
        <w:rPr>
          <w:rFonts w:asciiTheme="minorHAnsi" w:hAnsiTheme="minorHAnsi" w:cstheme="minorHAnsi"/>
          <w:sz w:val="22"/>
          <w:szCs w:val="22"/>
        </w:rPr>
        <w:t>300 eur</w:t>
      </w:r>
      <w:r w:rsidRPr="00110644">
        <w:rPr>
          <w:rFonts w:asciiTheme="minorHAnsi" w:hAnsiTheme="minorHAnsi" w:cstheme="minorHAnsi"/>
          <w:sz w:val="22"/>
          <w:szCs w:val="22"/>
        </w:rPr>
        <w:t>.</w:t>
      </w:r>
    </w:p>
    <w:p w14:paraId="3CD6E3B7" w14:textId="77777777" w:rsidR="00C274EF" w:rsidRPr="00110644" w:rsidRDefault="00C274EF" w:rsidP="00C274EF">
      <w:pPr>
        <w:spacing w:line="240" w:lineRule="auto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1AEAC09E" w14:textId="279D02BA" w:rsidR="00EF2CEB" w:rsidRPr="00110644" w:rsidRDefault="00E84138" w:rsidP="00C01BAD">
      <w:pPr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b/>
          <w:sz w:val="22"/>
          <w:szCs w:val="22"/>
          <w:u w:val="single"/>
        </w:rPr>
        <w:t xml:space="preserve">Rashodi za zaposlene </w:t>
      </w:r>
      <w:r w:rsidRPr="00110644">
        <w:rPr>
          <w:rFonts w:asciiTheme="minorHAnsi" w:hAnsiTheme="minorHAnsi" w:cstheme="minorHAnsi"/>
          <w:sz w:val="22"/>
          <w:szCs w:val="22"/>
        </w:rPr>
        <w:t>s</w:t>
      </w:r>
      <w:r w:rsidR="005D23C3" w:rsidRPr="00110644">
        <w:rPr>
          <w:rFonts w:asciiTheme="minorHAnsi" w:hAnsiTheme="minorHAnsi" w:cstheme="minorHAnsi"/>
          <w:sz w:val="22"/>
          <w:szCs w:val="22"/>
        </w:rPr>
        <w:t xml:space="preserve">u veći za </w:t>
      </w:r>
      <w:r w:rsidR="00A8469B" w:rsidRPr="00110644">
        <w:rPr>
          <w:rFonts w:asciiTheme="minorHAnsi" w:hAnsiTheme="minorHAnsi" w:cstheme="minorHAnsi"/>
          <w:sz w:val="22"/>
          <w:szCs w:val="22"/>
        </w:rPr>
        <w:t>7,1</w:t>
      </w:r>
      <w:r w:rsidR="00D776D3" w:rsidRPr="00110644">
        <w:rPr>
          <w:rFonts w:asciiTheme="minorHAnsi" w:hAnsiTheme="minorHAnsi" w:cstheme="minorHAnsi"/>
          <w:sz w:val="22"/>
          <w:szCs w:val="22"/>
        </w:rPr>
        <w:t xml:space="preserve"> </w:t>
      </w:r>
      <w:r w:rsidR="00537811" w:rsidRPr="00110644">
        <w:rPr>
          <w:rFonts w:asciiTheme="minorHAnsi" w:hAnsiTheme="minorHAnsi" w:cstheme="minorHAnsi"/>
          <w:sz w:val="22"/>
          <w:szCs w:val="22"/>
        </w:rPr>
        <w:t>% u odnosu na P</w:t>
      </w:r>
      <w:r w:rsidR="003E5B58" w:rsidRPr="00110644">
        <w:rPr>
          <w:rFonts w:asciiTheme="minorHAnsi" w:hAnsiTheme="minorHAnsi" w:cstheme="minorHAnsi"/>
          <w:sz w:val="22"/>
          <w:szCs w:val="22"/>
        </w:rPr>
        <w:t>lan</w:t>
      </w:r>
      <w:r w:rsidR="0052661B" w:rsidRPr="00110644">
        <w:rPr>
          <w:rFonts w:asciiTheme="minorHAnsi" w:hAnsiTheme="minorHAnsi" w:cstheme="minorHAnsi"/>
          <w:sz w:val="22"/>
          <w:szCs w:val="22"/>
        </w:rPr>
        <w:t xml:space="preserve">, što </w:t>
      </w:r>
      <w:r w:rsidR="005D23C3" w:rsidRPr="00110644">
        <w:rPr>
          <w:rFonts w:asciiTheme="minorHAnsi" w:hAnsiTheme="minorHAnsi" w:cstheme="minorHAnsi"/>
          <w:sz w:val="22"/>
          <w:szCs w:val="22"/>
        </w:rPr>
        <w:t xml:space="preserve">je u apsolutnom iznosu </w:t>
      </w:r>
      <w:r w:rsidR="00A8469B" w:rsidRPr="00110644">
        <w:rPr>
          <w:rFonts w:asciiTheme="minorHAnsi" w:hAnsiTheme="minorHAnsi" w:cstheme="minorHAnsi"/>
          <w:sz w:val="22"/>
          <w:szCs w:val="22"/>
        </w:rPr>
        <w:t>veće za 830.136,21 eur</w:t>
      </w:r>
      <w:r w:rsidR="003E5B58" w:rsidRPr="00110644">
        <w:rPr>
          <w:rFonts w:asciiTheme="minorHAnsi" w:hAnsiTheme="minorHAnsi" w:cstheme="minorHAnsi"/>
          <w:sz w:val="22"/>
          <w:szCs w:val="22"/>
        </w:rPr>
        <w:t>.</w:t>
      </w:r>
      <w:r w:rsidR="00C01BAD" w:rsidRPr="00110644">
        <w:rPr>
          <w:rFonts w:asciiTheme="minorHAnsi" w:hAnsiTheme="minorHAnsi" w:cstheme="minorHAnsi"/>
          <w:sz w:val="22"/>
          <w:szCs w:val="22"/>
        </w:rPr>
        <w:t xml:space="preserve"> </w:t>
      </w:r>
      <w:r w:rsidR="00644BF1" w:rsidRPr="00110644">
        <w:rPr>
          <w:rFonts w:asciiTheme="minorHAnsi" w:hAnsiTheme="minorHAnsi" w:cstheme="minorHAnsi"/>
          <w:sz w:val="22"/>
          <w:szCs w:val="22"/>
        </w:rPr>
        <w:t>Rashodi za zaposlene u prih</w:t>
      </w:r>
      <w:r w:rsidR="00FB4476" w:rsidRPr="00110644">
        <w:rPr>
          <w:rFonts w:asciiTheme="minorHAnsi" w:hAnsiTheme="minorHAnsi" w:cstheme="minorHAnsi"/>
          <w:sz w:val="22"/>
          <w:szCs w:val="22"/>
        </w:rPr>
        <w:t xml:space="preserve">odima od HZZO-a iznose </w:t>
      </w:r>
      <w:r w:rsidR="006A3C1F" w:rsidRPr="00110644">
        <w:rPr>
          <w:rFonts w:asciiTheme="minorHAnsi" w:hAnsiTheme="minorHAnsi" w:cstheme="minorHAnsi"/>
          <w:sz w:val="22"/>
          <w:szCs w:val="22"/>
        </w:rPr>
        <w:t>90</w:t>
      </w:r>
      <w:r w:rsidR="00644BF1" w:rsidRPr="00110644">
        <w:rPr>
          <w:rFonts w:asciiTheme="minorHAnsi" w:hAnsiTheme="minorHAnsi" w:cstheme="minorHAnsi"/>
          <w:sz w:val="22"/>
          <w:szCs w:val="22"/>
        </w:rPr>
        <w:t>%,</w:t>
      </w:r>
      <w:r w:rsidR="00FB4476" w:rsidRPr="00110644">
        <w:rPr>
          <w:rFonts w:asciiTheme="minorHAnsi" w:hAnsiTheme="minorHAnsi" w:cstheme="minorHAnsi"/>
          <w:sz w:val="22"/>
          <w:szCs w:val="22"/>
        </w:rPr>
        <w:t xml:space="preserve"> što je za </w:t>
      </w:r>
      <w:r w:rsidR="006A3C1F" w:rsidRPr="00110644">
        <w:rPr>
          <w:rFonts w:asciiTheme="minorHAnsi" w:hAnsiTheme="minorHAnsi" w:cstheme="minorHAnsi"/>
          <w:sz w:val="22"/>
          <w:szCs w:val="22"/>
        </w:rPr>
        <w:t>oko 8 postotnih bodova</w:t>
      </w:r>
      <w:r w:rsidR="00FB4476" w:rsidRPr="00110644">
        <w:rPr>
          <w:rFonts w:asciiTheme="minorHAnsi" w:hAnsiTheme="minorHAnsi" w:cstheme="minorHAnsi"/>
          <w:sz w:val="22"/>
          <w:szCs w:val="22"/>
        </w:rPr>
        <w:t xml:space="preserve"> više </w:t>
      </w:r>
      <w:r w:rsidR="00B36BFE" w:rsidRPr="00110644">
        <w:rPr>
          <w:rFonts w:asciiTheme="minorHAnsi" w:hAnsiTheme="minorHAnsi" w:cstheme="minorHAnsi"/>
          <w:sz w:val="22"/>
          <w:szCs w:val="22"/>
        </w:rPr>
        <w:t xml:space="preserve">u odnosu na udio plaća prije </w:t>
      </w:r>
      <w:r w:rsidR="006A3C1F" w:rsidRPr="00110644">
        <w:rPr>
          <w:rFonts w:asciiTheme="minorHAnsi" w:hAnsiTheme="minorHAnsi" w:cstheme="minorHAnsi"/>
          <w:sz w:val="22"/>
          <w:szCs w:val="22"/>
        </w:rPr>
        <w:t xml:space="preserve">epidemije </w:t>
      </w:r>
      <w:r w:rsidR="00747985">
        <w:rPr>
          <w:rFonts w:asciiTheme="minorHAnsi" w:hAnsiTheme="minorHAnsi" w:cstheme="minorHAnsi"/>
          <w:sz w:val="22"/>
          <w:szCs w:val="22"/>
        </w:rPr>
        <w:t>bolesti COVID-19</w:t>
      </w:r>
      <w:r w:rsidR="00B36BFE" w:rsidRPr="00110644">
        <w:rPr>
          <w:rFonts w:asciiTheme="minorHAnsi" w:hAnsiTheme="minorHAnsi" w:cstheme="minorHAnsi"/>
          <w:sz w:val="22"/>
          <w:szCs w:val="22"/>
        </w:rPr>
        <w:t xml:space="preserve">, a što ima za posljedicu nedostatak pokrića ostalih rashoda koji </w:t>
      </w:r>
      <w:r w:rsidR="00B36BFE" w:rsidRPr="00110644">
        <w:rPr>
          <w:rFonts w:asciiTheme="minorHAnsi" w:hAnsiTheme="minorHAnsi" w:cstheme="minorHAnsi"/>
          <w:sz w:val="22"/>
          <w:szCs w:val="22"/>
        </w:rPr>
        <w:lastRenderedPageBreak/>
        <w:t xml:space="preserve">se financiraju od HZZO-a. </w:t>
      </w:r>
      <w:r w:rsidR="00A05897" w:rsidRPr="00110644">
        <w:rPr>
          <w:rFonts w:asciiTheme="minorHAnsi" w:hAnsiTheme="minorHAnsi" w:cstheme="minorHAnsi"/>
          <w:sz w:val="22"/>
          <w:szCs w:val="22"/>
        </w:rPr>
        <w:t xml:space="preserve">Uz </w:t>
      </w:r>
      <w:r w:rsidR="0001113E" w:rsidRPr="00110644">
        <w:rPr>
          <w:rFonts w:asciiTheme="minorHAnsi" w:hAnsiTheme="minorHAnsi" w:cstheme="minorHAnsi"/>
          <w:sz w:val="22"/>
          <w:szCs w:val="22"/>
        </w:rPr>
        <w:t>plaću</w:t>
      </w:r>
      <w:r w:rsidR="006A3C1F" w:rsidRPr="00110644">
        <w:rPr>
          <w:rFonts w:asciiTheme="minorHAnsi" w:hAnsiTheme="minorHAnsi" w:cstheme="minorHAnsi"/>
          <w:sz w:val="22"/>
          <w:szCs w:val="22"/>
        </w:rPr>
        <w:t>,</w:t>
      </w:r>
      <w:r w:rsidR="0001113E" w:rsidRPr="00110644">
        <w:rPr>
          <w:rFonts w:asciiTheme="minorHAnsi" w:hAnsiTheme="minorHAnsi" w:cstheme="minorHAnsi"/>
          <w:sz w:val="22"/>
          <w:szCs w:val="22"/>
        </w:rPr>
        <w:t xml:space="preserve"> </w:t>
      </w:r>
      <w:r w:rsidR="00A05897" w:rsidRPr="00110644">
        <w:rPr>
          <w:rFonts w:asciiTheme="minorHAnsi" w:hAnsiTheme="minorHAnsi" w:cstheme="minorHAnsi"/>
          <w:sz w:val="22"/>
          <w:szCs w:val="22"/>
        </w:rPr>
        <w:t>svim radnicima koji</w:t>
      </w:r>
      <w:r w:rsidR="00244CE3" w:rsidRPr="00110644">
        <w:rPr>
          <w:rFonts w:asciiTheme="minorHAnsi" w:hAnsiTheme="minorHAnsi" w:cstheme="minorHAnsi"/>
          <w:sz w:val="22"/>
          <w:szCs w:val="22"/>
        </w:rPr>
        <w:t xml:space="preserve"> obavljaju poslove </w:t>
      </w:r>
      <w:r w:rsidR="006A3C1F" w:rsidRPr="00110644">
        <w:rPr>
          <w:rFonts w:asciiTheme="minorHAnsi" w:hAnsiTheme="minorHAnsi" w:cstheme="minorHAnsi"/>
          <w:sz w:val="22"/>
          <w:szCs w:val="22"/>
        </w:rPr>
        <w:t xml:space="preserve">direktno ili indirektno </w:t>
      </w:r>
      <w:r w:rsidR="00244CE3" w:rsidRPr="00110644">
        <w:rPr>
          <w:rFonts w:asciiTheme="minorHAnsi" w:hAnsiTheme="minorHAnsi" w:cstheme="minorHAnsi"/>
          <w:sz w:val="22"/>
          <w:szCs w:val="22"/>
        </w:rPr>
        <w:t xml:space="preserve">vezane za pružanje zdravstvene skrbi pacijentima oboljelima od bolesti Covid-19, </w:t>
      </w:r>
      <w:r w:rsidR="0001113E" w:rsidRPr="00110644">
        <w:rPr>
          <w:rFonts w:asciiTheme="minorHAnsi" w:hAnsiTheme="minorHAnsi" w:cstheme="minorHAnsi"/>
          <w:sz w:val="22"/>
          <w:szCs w:val="22"/>
        </w:rPr>
        <w:t>isplaćuje</w:t>
      </w:r>
      <w:r w:rsidR="006A3C1F" w:rsidRPr="00110644">
        <w:rPr>
          <w:rFonts w:asciiTheme="minorHAnsi" w:hAnsiTheme="minorHAnsi" w:cstheme="minorHAnsi"/>
          <w:sz w:val="22"/>
          <w:szCs w:val="22"/>
        </w:rPr>
        <w:t xml:space="preserve"> se</w:t>
      </w:r>
      <w:r w:rsidR="0001113E" w:rsidRPr="00110644">
        <w:rPr>
          <w:rFonts w:asciiTheme="minorHAnsi" w:hAnsiTheme="minorHAnsi" w:cstheme="minorHAnsi"/>
          <w:sz w:val="22"/>
          <w:szCs w:val="22"/>
        </w:rPr>
        <w:t xml:space="preserve"> </w:t>
      </w:r>
      <w:r w:rsidR="00244CE3" w:rsidRPr="00110644">
        <w:rPr>
          <w:rFonts w:asciiTheme="minorHAnsi" w:hAnsiTheme="minorHAnsi" w:cstheme="minorHAnsi"/>
          <w:sz w:val="22"/>
          <w:szCs w:val="22"/>
        </w:rPr>
        <w:t>nagrad</w:t>
      </w:r>
      <w:r w:rsidR="006A3C1F" w:rsidRPr="00110644">
        <w:rPr>
          <w:rFonts w:asciiTheme="minorHAnsi" w:hAnsiTheme="minorHAnsi" w:cstheme="minorHAnsi"/>
          <w:sz w:val="22"/>
          <w:szCs w:val="22"/>
        </w:rPr>
        <w:t>a</w:t>
      </w:r>
      <w:r w:rsidR="00244CE3" w:rsidRPr="00110644">
        <w:rPr>
          <w:rFonts w:asciiTheme="minorHAnsi" w:hAnsiTheme="minorHAnsi" w:cstheme="minorHAnsi"/>
          <w:sz w:val="22"/>
          <w:szCs w:val="22"/>
        </w:rPr>
        <w:t xml:space="preserve"> u iznosu od 10</w:t>
      </w:r>
      <w:r w:rsidR="00D776D3" w:rsidRPr="00110644">
        <w:rPr>
          <w:rFonts w:asciiTheme="minorHAnsi" w:hAnsiTheme="minorHAnsi" w:cstheme="minorHAnsi"/>
          <w:sz w:val="22"/>
          <w:szCs w:val="22"/>
        </w:rPr>
        <w:t xml:space="preserve"> </w:t>
      </w:r>
      <w:r w:rsidR="00244CE3" w:rsidRPr="00110644">
        <w:rPr>
          <w:rFonts w:asciiTheme="minorHAnsi" w:hAnsiTheme="minorHAnsi" w:cstheme="minorHAnsi"/>
          <w:sz w:val="22"/>
          <w:szCs w:val="22"/>
        </w:rPr>
        <w:t>% bruto plaće</w:t>
      </w:r>
      <w:r w:rsidR="006A3C1F" w:rsidRPr="00110644">
        <w:rPr>
          <w:rFonts w:asciiTheme="minorHAnsi" w:hAnsiTheme="minorHAnsi" w:cstheme="minorHAnsi"/>
          <w:sz w:val="22"/>
          <w:szCs w:val="22"/>
        </w:rPr>
        <w:t xml:space="preserve"> čak i nakon proglašenja prestanka epidemije u svibnju 2023., sukladno važećim uputama</w:t>
      </w:r>
      <w:r w:rsidR="00747985">
        <w:rPr>
          <w:rFonts w:asciiTheme="minorHAnsi" w:hAnsiTheme="minorHAnsi" w:cstheme="minorHAnsi"/>
          <w:sz w:val="22"/>
          <w:szCs w:val="22"/>
        </w:rPr>
        <w:t xml:space="preserve"> Ministarstva zdravstva</w:t>
      </w:r>
      <w:r w:rsidR="006A3C1F" w:rsidRPr="00110644">
        <w:rPr>
          <w:rFonts w:asciiTheme="minorHAnsi" w:hAnsiTheme="minorHAnsi" w:cstheme="minorHAnsi"/>
          <w:sz w:val="22"/>
          <w:szCs w:val="22"/>
        </w:rPr>
        <w:t xml:space="preserve">. </w:t>
      </w:r>
      <w:r w:rsidR="00244CE3" w:rsidRPr="00110644">
        <w:rPr>
          <w:rFonts w:asciiTheme="minorHAnsi" w:hAnsiTheme="minorHAnsi" w:cstheme="minorHAnsi"/>
          <w:sz w:val="22"/>
          <w:szCs w:val="22"/>
        </w:rPr>
        <w:t>Refundacij</w:t>
      </w:r>
      <w:r w:rsidR="006A3C1F" w:rsidRPr="00110644">
        <w:rPr>
          <w:rFonts w:asciiTheme="minorHAnsi" w:hAnsiTheme="minorHAnsi" w:cstheme="minorHAnsi"/>
          <w:sz w:val="22"/>
          <w:szCs w:val="22"/>
        </w:rPr>
        <w:t>a</w:t>
      </w:r>
      <w:r w:rsidR="009A6B61" w:rsidRPr="00110644">
        <w:rPr>
          <w:rFonts w:asciiTheme="minorHAnsi" w:hAnsiTheme="minorHAnsi" w:cstheme="minorHAnsi"/>
          <w:sz w:val="22"/>
          <w:szCs w:val="22"/>
        </w:rPr>
        <w:t xml:space="preserve"> </w:t>
      </w:r>
      <w:r w:rsidR="006A3C1F" w:rsidRPr="00110644">
        <w:rPr>
          <w:rFonts w:asciiTheme="minorHAnsi" w:hAnsiTheme="minorHAnsi" w:cstheme="minorHAnsi"/>
          <w:sz w:val="22"/>
          <w:szCs w:val="22"/>
        </w:rPr>
        <w:t xml:space="preserve">se </w:t>
      </w:r>
      <w:r w:rsidR="009A6B61" w:rsidRPr="00110644">
        <w:rPr>
          <w:rFonts w:asciiTheme="minorHAnsi" w:hAnsiTheme="minorHAnsi" w:cstheme="minorHAnsi"/>
          <w:sz w:val="22"/>
          <w:szCs w:val="22"/>
        </w:rPr>
        <w:t>potražuje od HZZO</w:t>
      </w:r>
      <w:r w:rsidR="0001113E" w:rsidRPr="00110644">
        <w:rPr>
          <w:rFonts w:asciiTheme="minorHAnsi" w:hAnsiTheme="minorHAnsi" w:cstheme="minorHAnsi"/>
          <w:sz w:val="22"/>
          <w:szCs w:val="22"/>
        </w:rPr>
        <w:t>-a</w:t>
      </w:r>
      <w:r w:rsidR="00C01BAD" w:rsidRPr="00110644">
        <w:rPr>
          <w:rFonts w:asciiTheme="minorHAnsi" w:hAnsiTheme="minorHAnsi" w:cstheme="minorHAnsi"/>
          <w:sz w:val="22"/>
          <w:szCs w:val="22"/>
        </w:rPr>
        <w:t xml:space="preserve">, međutim, </w:t>
      </w:r>
      <w:r w:rsidR="00D6443A" w:rsidRPr="00110644">
        <w:rPr>
          <w:rFonts w:asciiTheme="minorHAnsi" w:hAnsiTheme="minorHAnsi" w:cstheme="minorHAnsi"/>
          <w:sz w:val="22"/>
          <w:szCs w:val="22"/>
        </w:rPr>
        <w:t xml:space="preserve">operativno </w:t>
      </w:r>
      <w:r w:rsidR="00C01BAD" w:rsidRPr="00110644">
        <w:rPr>
          <w:rFonts w:asciiTheme="minorHAnsi" w:hAnsiTheme="minorHAnsi" w:cstheme="minorHAnsi"/>
          <w:sz w:val="22"/>
          <w:szCs w:val="22"/>
        </w:rPr>
        <w:t xml:space="preserve">se </w:t>
      </w:r>
      <w:r w:rsidR="006A3C1F" w:rsidRPr="00110644">
        <w:rPr>
          <w:rFonts w:asciiTheme="minorHAnsi" w:hAnsiTheme="minorHAnsi" w:cstheme="minorHAnsi"/>
          <w:sz w:val="22"/>
          <w:szCs w:val="22"/>
        </w:rPr>
        <w:t>knjiženje tog prihoda prebacilo iz sfere ugovornog odnosa (odjeljak 6731) u sferu tekućih pomoći od izvanproračunskih korisnika</w:t>
      </w:r>
      <w:r w:rsidR="00826922" w:rsidRPr="00110644">
        <w:rPr>
          <w:rFonts w:asciiTheme="minorHAnsi" w:hAnsiTheme="minorHAnsi" w:cstheme="minorHAnsi"/>
          <w:sz w:val="22"/>
          <w:szCs w:val="22"/>
        </w:rPr>
        <w:t xml:space="preserve"> (HZZO-a)</w:t>
      </w:r>
      <w:r w:rsidR="006A3C1F" w:rsidRPr="00110644">
        <w:rPr>
          <w:rFonts w:asciiTheme="minorHAnsi" w:hAnsiTheme="minorHAnsi" w:cstheme="minorHAnsi"/>
          <w:sz w:val="22"/>
          <w:szCs w:val="22"/>
        </w:rPr>
        <w:t xml:space="preserve"> (odjeljak 6341)</w:t>
      </w:r>
      <w:r w:rsidR="00C01BAD" w:rsidRPr="0011064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0E06E2" w14:textId="50C7C494" w:rsidR="00794BE0" w:rsidRPr="00110644" w:rsidRDefault="00C274EF" w:rsidP="00C01BAD">
      <w:pPr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b/>
          <w:sz w:val="22"/>
          <w:szCs w:val="22"/>
          <w:u w:val="single"/>
        </w:rPr>
        <w:t>Materijalne rashode</w:t>
      </w:r>
      <w:r w:rsidRPr="00110644">
        <w:rPr>
          <w:rFonts w:asciiTheme="minorHAnsi" w:hAnsiTheme="minorHAnsi" w:cstheme="minorHAnsi"/>
          <w:sz w:val="22"/>
          <w:szCs w:val="22"/>
        </w:rPr>
        <w:t xml:space="preserve"> čini</w:t>
      </w:r>
      <w:r w:rsidR="00794BE0" w:rsidRPr="00110644">
        <w:rPr>
          <w:rFonts w:asciiTheme="minorHAnsi" w:hAnsiTheme="minorHAnsi" w:cstheme="minorHAnsi"/>
          <w:sz w:val="22"/>
          <w:szCs w:val="22"/>
        </w:rPr>
        <w:t xml:space="preserve">, uz naknade zaposlenicima, </w:t>
      </w:r>
      <w:r w:rsidRPr="00110644">
        <w:rPr>
          <w:rFonts w:asciiTheme="minorHAnsi" w:hAnsiTheme="minorHAnsi" w:cstheme="minorHAnsi"/>
          <w:sz w:val="22"/>
          <w:szCs w:val="22"/>
        </w:rPr>
        <w:t xml:space="preserve">preko 75 vrsta raznih rashoda za materijale, robu i usluge. </w:t>
      </w:r>
      <w:r w:rsidR="00794BE0" w:rsidRPr="00110644">
        <w:rPr>
          <w:rFonts w:asciiTheme="minorHAnsi" w:hAnsiTheme="minorHAnsi" w:cstheme="minorHAnsi"/>
          <w:sz w:val="22"/>
          <w:szCs w:val="22"/>
        </w:rPr>
        <w:t>Za ovu skupinu rashoda ukupno je utrošeno 2.735.943,26 eur. Dok se kod nekih rashoda uspjelo smanjiti potrošnju, neki rashodi prate cijene na tržištu i na njih Zavod ne može bitno direktno utjecati. Naknade troškova zaposlenicima premašila su planirane veličine u sva tri segmenta: u naknadama za prijevoz, u službenim putovanjima (veći broj putovanja u inozemstvo), ali i u stručnom usavršavanju zaposlenika što smatramo pozitivnom promjenom.</w:t>
      </w:r>
    </w:p>
    <w:p w14:paraId="0F92EC81" w14:textId="6FCA567D" w:rsidR="00010E30" w:rsidRPr="00110644" w:rsidRDefault="00794BE0" w:rsidP="00032F7A">
      <w:pPr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>Dakle, m</w:t>
      </w:r>
      <w:r w:rsidR="00010E30" w:rsidRPr="00110644">
        <w:rPr>
          <w:rFonts w:asciiTheme="minorHAnsi" w:hAnsiTheme="minorHAnsi" w:cstheme="minorHAnsi"/>
          <w:sz w:val="22"/>
          <w:szCs w:val="22"/>
        </w:rPr>
        <w:t>aterijalni rashodi su realizirani osjetno manje u odnosu na plan (94% plana) iz razloga što su se prema najavama</w:t>
      </w:r>
      <w:r w:rsidR="00826922" w:rsidRPr="00110644">
        <w:rPr>
          <w:rFonts w:asciiTheme="minorHAnsi" w:hAnsiTheme="minorHAnsi" w:cstheme="minorHAnsi"/>
          <w:sz w:val="22"/>
          <w:szCs w:val="22"/>
        </w:rPr>
        <w:t xml:space="preserve"> </w:t>
      </w:r>
      <w:r w:rsidR="00010E30" w:rsidRPr="00110644">
        <w:rPr>
          <w:rFonts w:asciiTheme="minorHAnsi" w:hAnsiTheme="minorHAnsi" w:cstheme="minorHAnsi"/>
          <w:sz w:val="22"/>
          <w:szCs w:val="22"/>
        </w:rPr>
        <w:t>predviđali veliki porasti cijena energenata. Gledano kroz realizaciju 2022./2023. navedeno se zbilo samo kod električne energije (</w:t>
      </w:r>
      <w:r w:rsidR="00DB7380" w:rsidRPr="00110644">
        <w:rPr>
          <w:rFonts w:asciiTheme="minorHAnsi" w:hAnsiTheme="minorHAnsi" w:cstheme="minorHAnsi"/>
          <w:sz w:val="22"/>
          <w:szCs w:val="22"/>
        </w:rPr>
        <w:t xml:space="preserve">porast vrijednosti Opskrbe bio je čak 100% ali je zbog paketa mjera konačni efekt iz 2022. na 2023. godinu iznosio </w:t>
      </w:r>
      <w:r w:rsidR="00010E30" w:rsidRPr="00110644">
        <w:rPr>
          <w:rFonts w:asciiTheme="minorHAnsi" w:hAnsiTheme="minorHAnsi" w:cstheme="minorHAnsi"/>
          <w:sz w:val="22"/>
          <w:szCs w:val="22"/>
        </w:rPr>
        <w:t xml:space="preserve">+33%) dok su gorivo za vozila (-6%), toplana (-9%) i plin </w:t>
      </w:r>
      <w:r w:rsidR="003013A6" w:rsidRPr="00110644">
        <w:rPr>
          <w:rFonts w:asciiTheme="minorHAnsi" w:hAnsiTheme="minorHAnsi" w:cstheme="minorHAnsi"/>
          <w:sz w:val="22"/>
          <w:szCs w:val="22"/>
        </w:rPr>
        <w:br/>
      </w:r>
      <w:r w:rsidR="00010E30" w:rsidRPr="00110644">
        <w:rPr>
          <w:rFonts w:asciiTheme="minorHAnsi" w:hAnsiTheme="minorHAnsi" w:cstheme="minorHAnsi"/>
          <w:sz w:val="22"/>
          <w:szCs w:val="22"/>
        </w:rPr>
        <w:t xml:space="preserve">(-13%) </w:t>
      </w:r>
      <w:r w:rsidR="00DB7380" w:rsidRPr="00110644">
        <w:rPr>
          <w:rFonts w:asciiTheme="minorHAnsi" w:hAnsiTheme="minorHAnsi" w:cstheme="minorHAnsi"/>
          <w:sz w:val="22"/>
          <w:szCs w:val="22"/>
        </w:rPr>
        <w:t xml:space="preserve">financijski </w:t>
      </w:r>
      <w:r w:rsidR="00010E30" w:rsidRPr="00110644">
        <w:rPr>
          <w:rFonts w:asciiTheme="minorHAnsi" w:hAnsiTheme="minorHAnsi" w:cstheme="minorHAnsi"/>
          <w:sz w:val="22"/>
          <w:szCs w:val="22"/>
        </w:rPr>
        <w:t>realizirani u iznosima manjim nego godinu ranije.</w:t>
      </w:r>
      <w:r w:rsidRPr="00110644">
        <w:rPr>
          <w:rFonts w:asciiTheme="minorHAnsi" w:hAnsiTheme="minorHAnsi" w:cstheme="minorHAnsi"/>
          <w:sz w:val="22"/>
          <w:szCs w:val="22"/>
        </w:rPr>
        <w:t xml:space="preserve"> Manje su realizirane stavke poput sitnog inventara, automobilskih guma</w:t>
      </w:r>
      <w:r w:rsidR="00032F7A" w:rsidRPr="00110644">
        <w:rPr>
          <w:rFonts w:asciiTheme="minorHAnsi" w:hAnsiTheme="minorHAnsi" w:cstheme="minorHAnsi"/>
          <w:sz w:val="22"/>
          <w:szCs w:val="22"/>
        </w:rPr>
        <w:t xml:space="preserve"> i radne odjeće, kojih je bilo dovoljno od nabave realizirane godinu ranije. </w:t>
      </w:r>
      <w:r w:rsidR="0045516B" w:rsidRPr="00110644">
        <w:rPr>
          <w:rFonts w:asciiTheme="minorHAnsi" w:hAnsiTheme="minorHAnsi" w:cstheme="minorHAnsi"/>
          <w:sz w:val="22"/>
          <w:szCs w:val="22"/>
        </w:rPr>
        <w:t xml:space="preserve">Koliko je u određenoj mjeri Zavod manje utrošio za dijelove za vozila, toliko je povećao rashode za usluge održavanja vozila zbog novih vozila </w:t>
      </w:r>
      <w:r w:rsidR="00032F7A" w:rsidRPr="00110644">
        <w:rPr>
          <w:rFonts w:asciiTheme="minorHAnsi" w:hAnsiTheme="minorHAnsi" w:cstheme="minorHAnsi"/>
          <w:sz w:val="22"/>
          <w:szCs w:val="22"/>
        </w:rPr>
        <w:t xml:space="preserve">koja su </w:t>
      </w:r>
      <w:r w:rsidR="0045516B" w:rsidRPr="00110644">
        <w:rPr>
          <w:rFonts w:asciiTheme="minorHAnsi" w:hAnsiTheme="minorHAnsi" w:cstheme="minorHAnsi"/>
          <w:sz w:val="22"/>
          <w:szCs w:val="22"/>
        </w:rPr>
        <w:t>u garantnom roku</w:t>
      </w:r>
      <w:r w:rsidR="00032F7A" w:rsidRPr="00110644">
        <w:rPr>
          <w:rFonts w:asciiTheme="minorHAnsi" w:hAnsiTheme="minorHAnsi" w:cstheme="minorHAnsi"/>
          <w:sz w:val="22"/>
          <w:szCs w:val="22"/>
        </w:rPr>
        <w:t xml:space="preserve"> </w:t>
      </w:r>
      <w:r w:rsidR="00A54FA2" w:rsidRPr="00110644">
        <w:rPr>
          <w:rFonts w:asciiTheme="minorHAnsi" w:hAnsiTheme="minorHAnsi" w:cstheme="minorHAnsi"/>
          <w:sz w:val="22"/>
          <w:szCs w:val="22"/>
        </w:rPr>
        <w:t>(</w:t>
      </w:r>
      <w:r w:rsidR="00032F7A" w:rsidRPr="00110644">
        <w:rPr>
          <w:rFonts w:asciiTheme="minorHAnsi" w:hAnsiTheme="minorHAnsi" w:cstheme="minorHAnsi"/>
          <w:sz w:val="22"/>
          <w:szCs w:val="22"/>
        </w:rPr>
        <w:t>dvije godine od datuma kupnje</w:t>
      </w:r>
      <w:r w:rsidR="00A54FA2" w:rsidRPr="00110644">
        <w:rPr>
          <w:rFonts w:asciiTheme="minorHAnsi" w:hAnsiTheme="minorHAnsi" w:cstheme="minorHAnsi"/>
          <w:sz w:val="22"/>
          <w:szCs w:val="22"/>
        </w:rPr>
        <w:t>)</w:t>
      </w:r>
      <w:r w:rsidR="00032F7A" w:rsidRPr="00110644">
        <w:rPr>
          <w:rFonts w:asciiTheme="minorHAnsi" w:hAnsiTheme="minorHAnsi" w:cstheme="minorHAnsi"/>
          <w:sz w:val="22"/>
          <w:szCs w:val="22"/>
        </w:rPr>
        <w:t>.</w:t>
      </w:r>
    </w:p>
    <w:p w14:paraId="61BD2C0C" w14:textId="69B41F69" w:rsidR="00276236" w:rsidRPr="00110644" w:rsidRDefault="00826922" w:rsidP="009C4E0F">
      <w:pPr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>Iako su ostali rashodi poslovanja realizirani manje u odnosu na plan, vidljiv je njihov rast 2022./2023. poglavito zbog</w:t>
      </w:r>
      <w:r w:rsidR="00794BE0" w:rsidRPr="00110644">
        <w:rPr>
          <w:rFonts w:asciiTheme="minorHAnsi" w:hAnsiTheme="minorHAnsi" w:cstheme="minorHAnsi"/>
          <w:sz w:val="22"/>
          <w:szCs w:val="22"/>
        </w:rPr>
        <w:t xml:space="preserve"> parničnih troškova i premija osiguranja.</w:t>
      </w:r>
    </w:p>
    <w:p w14:paraId="314FBBC0" w14:textId="5FFD0CDA" w:rsidR="00EF2CEB" w:rsidRPr="00110644" w:rsidRDefault="00C274EF" w:rsidP="00537811">
      <w:pPr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b/>
          <w:sz w:val="22"/>
          <w:szCs w:val="22"/>
          <w:u w:val="single"/>
        </w:rPr>
        <w:t>Financijski rashodi</w:t>
      </w:r>
      <w:r w:rsidRPr="00110644">
        <w:rPr>
          <w:rFonts w:asciiTheme="minorHAnsi" w:hAnsiTheme="minorHAnsi" w:cstheme="minorHAnsi"/>
          <w:sz w:val="22"/>
          <w:szCs w:val="22"/>
        </w:rPr>
        <w:t xml:space="preserve"> </w:t>
      </w:r>
      <w:r w:rsidR="00C56526" w:rsidRPr="00110644">
        <w:rPr>
          <w:rFonts w:asciiTheme="minorHAnsi" w:hAnsiTheme="minorHAnsi" w:cstheme="minorHAnsi"/>
          <w:sz w:val="22"/>
          <w:szCs w:val="22"/>
        </w:rPr>
        <w:t xml:space="preserve">su se povećali </w:t>
      </w:r>
      <w:r w:rsidR="00BA3EC7" w:rsidRPr="00110644">
        <w:rPr>
          <w:rFonts w:asciiTheme="minorHAnsi" w:hAnsiTheme="minorHAnsi" w:cstheme="minorHAnsi"/>
          <w:sz w:val="22"/>
          <w:szCs w:val="22"/>
        </w:rPr>
        <w:t xml:space="preserve">zbog otplate </w:t>
      </w:r>
      <w:r w:rsidR="00C56526" w:rsidRPr="00110644">
        <w:rPr>
          <w:rFonts w:asciiTheme="minorHAnsi" w:hAnsiTheme="minorHAnsi" w:cstheme="minorHAnsi"/>
          <w:sz w:val="22"/>
          <w:szCs w:val="22"/>
        </w:rPr>
        <w:t>kamate na dugoročni kredit</w:t>
      </w:r>
      <w:r w:rsidR="00880A98">
        <w:rPr>
          <w:rFonts w:asciiTheme="minorHAnsi" w:hAnsiTheme="minorHAnsi" w:cstheme="minorHAnsi"/>
          <w:sz w:val="22"/>
          <w:szCs w:val="22"/>
        </w:rPr>
        <w:t xml:space="preserve">, planski, </w:t>
      </w:r>
      <w:r w:rsidR="00BA3EC7" w:rsidRPr="00110644">
        <w:rPr>
          <w:rFonts w:asciiTheme="minorHAnsi" w:hAnsiTheme="minorHAnsi" w:cstheme="minorHAnsi"/>
          <w:sz w:val="22"/>
          <w:szCs w:val="22"/>
        </w:rPr>
        <w:t>sukladno planu otplate</w:t>
      </w:r>
      <w:r w:rsidR="00C56526" w:rsidRPr="00110644">
        <w:rPr>
          <w:rFonts w:asciiTheme="minorHAnsi" w:hAnsiTheme="minorHAnsi" w:cstheme="minorHAnsi"/>
          <w:sz w:val="22"/>
          <w:szCs w:val="22"/>
        </w:rPr>
        <w:t xml:space="preserve">, </w:t>
      </w:r>
      <w:r w:rsidR="00BA3EC7" w:rsidRPr="00110644">
        <w:rPr>
          <w:rFonts w:asciiTheme="minorHAnsi" w:hAnsiTheme="minorHAnsi" w:cstheme="minorHAnsi"/>
          <w:sz w:val="22"/>
          <w:szCs w:val="22"/>
        </w:rPr>
        <w:t>međutim nije bilo novog zaduživanja kreditom pa nije realizirana naknada za obradu kredita a prelaskom na euro su se bankovne usluge, troškovno gledano, prepolovile (izostala je provizija za kupnju eura</w:t>
      </w:r>
      <w:r w:rsidR="006066FC" w:rsidRPr="00110644">
        <w:rPr>
          <w:rFonts w:asciiTheme="minorHAnsi" w:hAnsiTheme="minorHAnsi" w:cstheme="minorHAnsi"/>
          <w:sz w:val="22"/>
          <w:szCs w:val="22"/>
        </w:rPr>
        <w:t>,</w:t>
      </w:r>
      <w:r w:rsidR="00BA3EC7" w:rsidRPr="00110644">
        <w:rPr>
          <w:rFonts w:asciiTheme="minorHAnsi" w:hAnsiTheme="minorHAnsi" w:cstheme="minorHAnsi"/>
          <w:sz w:val="22"/>
          <w:szCs w:val="22"/>
        </w:rPr>
        <w:t xml:space="preserve"> npr.)</w:t>
      </w:r>
    </w:p>
    <w:p w14:paraId="5AE28419" w14:textId="642D6A1D" w:rsidR="00766574" w:rsidRPr="00110644" w:rsidRDefault="009938B5" w:rsidP="00C274EF">
      <w:pPr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b/>
          <w:sz w:val="22"/>
          <w:szCs w:val="22"/>
          <w:u w:val="single"/>
        </w:rPr>
        <w:t>Za naknadu štete po sudskim sporovima</w:t>
      </w:r>
      <w:r w:rsidR="00F61ED2" w:rsidRPr="00110644">
        <w:rPr>
          <w:rFonts w:asciiTheme="minorHAnsi" w:hAnsiTheme="minorHAnsi" w:cstheme="minorHAnsi"/>
          <w:sz w:val="22"/>
          <w:szCs w:val="22"/>
        </w:rPr>
        <w:t xml:space="preserve"> ispla</w:t>
      </w:r>
      <w:r w:rsidR="00F1277B" w:rsidRPr="00110644">
        <w:rPr>
          <w:rFonts w:asciiTheme="minorHAnsi" w:hAnsiTheme="minorHAnsi" w:cstheme="minorHAnsi"/>
          <w:sz w:val="22"/>
          <w:szCs w:val="22"/>
        </w:rPr>
        <w:t xml:space="preserve">ćeno je </w:t>
      </w:r>
      <w:r w:rsidR="00510784" w:rsidRPr="00110644">
        <w:rPr>
          <w:rFonts w:asciiTheme="minorHAnsi" w:hAnsiTheme="minorHAnsi" w:cstheme="minorHAnsi"/>
          <w:sz w:val="22"/>
          <w:szCs w:val="22"/>
        </w:rPr>
        <w:t>300.185 eur</w:t>
      </w:r>
      <w:r w:rsidR="00E06F65" w:rsidRPr="00110644">
        <w:rPr>
          <w:rFonts w:asciiTheme="minorHAnsi" w:hAnsiTheme="minorHAnsi" w:cstheme="minorHAnsi"/>
          <w:sz w:val="22"/>
          <w:szCs w:val="22"/>
        </w:rPr>
        <w:t xml:space="preserve">. Radi se o </w:t>
      </w:r>
      <w:r w:rsidR="00F61ED2" w:rsidRPr="00110644">
        <w:rPr>
          <w:rFonts w:asciiTheme="minorHAnsi" w:hAnsiTheme="minorHAnsi" w:cstheme="minorHAnsi"/>
          <w:sz w:val="22"/>
          <w:szCs w:val="22"/>
        </w:rPr>
        <w:t>isplati prema radnicima po pravomoćnim pres</w:t>
      </w:r>
      <w:r w:rsidR="00F1277B" w:rsidRPr="00110644">
        <w:rPr>
          <w:rFonts w:asciiTheme="minorHAnsi" w:hAnsiTheme="minorHAnsi" w:cstheme="minorHAnsi"/>
          <w:sz w:val="22"/>
          <w:szCs w:val="22"/>
        </w:rPr>
        <w:t>udama temeljem sudskih rješenja</w:t>
      </w:r>
      <w:r w:rsidR="00510784" w:rsidRPr="00110644">
        <w:rPr>
          <w:rFonts w:asciiTheme="minorHAnsi" w:hAnsiTheme="minorHAnsi" w:cstheme="minorHAnsi"/>
          <w:sz w:val="22"/>
          <w:szCs w:val="22"/>
        </w:rPr>
        <w:t xml:space="preserve">, </w:t>
      </w:r>
      <w:r w:rsidR="003C25DD" w:rsidRPr="00110644">
        <w:rPr>
          <w:rFonts w:asciiTheme="minorHAnsi" w:hAnsiTheme="minorHAnsi" w:cstheme="minorHAnsi"/>
          <w:sz w:val="22"/>
          <w:szCs w:val="22"/>
        </w:rPr>
        <w:t>mahom</w:t>
      </w:r>
      <w:r w:rsidR="00510784" w:rsidRPr="00110644">
        <w:rPr>
          <w:rFonts w:asciiTheme="minorHAnsi" w:hAnsiTheme="minorHAnsi" w:cstheme="minorHAnsi"/>
          <w:sz w:val="22"/>
          <w:szCs w:val="22"/>
        </w:rPr>
        <w:t xml:space="preserve"> za prekovremene sate i za osnovicu, oboje realizirano više od planiranog, iako je vidljiv trend </w:t>
      </w:r>
      <w:r w:rsidR="00B42CA4" w:rsidRPr="00110644">
        <w:rPr>
          <w:rFonts w:asciiTheme="minorHAnsi" w:hAnsiTheme="minorHAnsi" w:cstheme="minorHAnsi"/>
          <w:sz w:val="22"/>
          <w:szCs w:val="22"/>
        </w:rPr>
        <w:t xml:space="preserve">smanjenja za prekovremene sate a </w:t>
      </w:r>
      <w:r w:rsidR="00510784" w:rsidRPr="00110644">
        <w:rPr>
          <w:rFonts w:asciiTheme="minorHAnsi" w:hAnsiTheme="minorHAnsi" w:cstheme="minorHAnsi"/>
          <w:sz w:val="22"/>
          <w:szCs w:val="22"/>
        </w:rPr>
        <w:t>porasta isplata za osnovicu</w:t>
      </w:r>
      <w:r w:rsidR="00B42CA4" w:rsidRPr="00110644">
        <w:rPr>
          <w:rFonts w:asciiTheme="minorHAnsi" w:hAnsiTheme="minorHAnsi" w:cstheme="minorHAnsi"/>
          <w:sz w:val="22"/>
          <w:szCs w:val="22"/>
        </w:rPr>
        <w:t xml:space="preserve">. Na 31.12.2023. evidentirana je 381 tužba za prekovremene sate (pravomoćno 294 predmeta) i 256 tužbi za osnovicu (pravomoćno 191 predmet). </w:t>
      </w:r>
    </w:p>
    <w:p w14:paraId="4C17B743" w14:textId="50E21046" w:rsidR="00B51E67" w:rsidRDefault="00766574" w:rsidP="00A92160">
      <w:pPr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 xml:space="preserve">Od niza </w:t>
      </w:r>
      <w:r w:rsidR="00CB2F1C">
        <w:rPr>
          <w:rFonts w:asciiTheme="minorHAnsi" w:hAnsiTheme="minorHAnsi" w:cstheme="minorHAnsi"/>
          <w:sz w:val="22"/>
          <w:szCs w:val="22"/>
        </w:rPr>
        <w:t xml:space="preserve">ostalih </w:t>
      </w:r>
      <w:r w:rsidRPr="00110644">
        <w:rPr>
          <w:rFonts w:asciiTheme="minorHAnsi" w:hAnsiTheme="minorHAnsi" w:cstheme="minorHAnsi"/>
          <w:sz w:val="22"/>
          <w:szCs w:val="22"/>
        </w:rPr>
        <w:t xml:space="preserve">sporova koji su u tijeku teško je predvidjeti koji će spor postati pravomoćan i </w:t>
      </w:r>
      <w:r w:rsidR="00B42CA4" w:rsidRPr="00110644">
        <w:rPr>
          <w:rFonts w:asciiTheme="minorHAnsi" w:hAnsiTheme="minorHAnsi" w:cstheme="minorHAnsi"/>
          <w:sz w:val="22"/>
          <w:szCs w:val="22"/>
        </w:rPr>
        <w:t>u čiju korist</w:t>
      </w:r>
      <w:r w:rsidRPr="00110644">
        <w:rPr>
          <w:rFonts w:asciiTheme="minorHAnsi" w:hAnsiTheme="minorHAnsi" w:cstheme="minorHAnsi"/>
          <w:sz w:val="22"/>
          <w:szCs w:val="22"/>
        </w:rPr>
        <w:t xml:space="preserve">. Mišljenja odvjetnika o ishodu </w:t>
      </w:r>
      <w:r w:rsidR="00A81979">
        <w:rPr>
          <w:rFonts w:asciiTheme="minorHAnsi" w:hAnsiTheme="minorHAnsi" w:cstheme="minorHAnsi"/>
          <w:sz w:val="22"/>
          <w:szCs w:val="22"/>
        </w:rPr>
        <w:t>tih</w:t>
      </w:r>
      <w:r w:rsidR="00B42CA4" w:rsidRPr="00110644">
        <w:rPr>
          <w:rFonts w:asciiTheme="minorHAnsi" w:hAnsiTheme="minorHAnsi" w:cstheme="minorHAnsi"/>
          <w:sz w:val="22"/>
          <w:szCs w:val="22"/>
        </w:rPr>
        <w:t xml:space="preserve"> </w:t>
      </w:r>
      <w:r w:rsidRPr="00110644">
        <w:rPr>
          <w:rFonts w:asciiTheme="minorHAnsi" w:hAnsiTheme="minorHAnsi" w:cstheme="minorHAnsi"/>
          <w:sz w:val="22"/>
          <w:szCs w:val="22"/>
        </w:rPr>
        <w:t xml:space="preserve">postupaka su različita. </w:t>
      </w:r>
      <w:r w:rsidR="000462D4" w:rsidRPr="00110644">
        <w:rPr>
          <w:rFonts w:asciiTheme="minorHAnsi" w:hAnsiTheme="minorHAnsi" w:cstheme="minorHAnsi"/>
          <w:sz w:val="22"/>
          <w:szCs w:val="22"/>
        </w:rPr>
        <w:t>Pojedini sporovi vode se duže od 10 godina</w:t>
      </w:r>
      <w:r w:rsidR="00B51E67" w:rsidRPr="00110644">
        <w:rPr>
          <w:rFonts w:asciiTheme="minorHAnsi" w:hAnsiTheme="minorHAnsi" w:cstheme="minorHAnsi"/>
          <w:sz w:val="22"/>
          <w:szCs w:val="22"/>
        </w:rPr>
        <w:t xml:space="preserve">, međutim par većih dobilo je smjer rješavanja pa je iznos vanbilančnih obveza smanjen sa 1.062.428,69 eur za 569.201,88 </w:t>
      </w:r>
      <w:r w:rsidR="00B51E67" w:rsidRPr="00110644">
        <w:rPr>
          <w:rFonts w:asciiTheme="minorHAnsi" w:hAnsiTheme="minorHAnsi" w:cstheme="minorHAnsi"/>
          <w:sz w:val="22"/>
          <w:szCs w:val="22"/>
        </w:rPr>
        <w:lastRenderedPageBreak/>
        <w:t>eur na 493.226,81 eur</w:t>
      </w:r>
      <w:r w:rsidR="00B42CA4" w:rsidRPr="00110644">
        <w:rPr>
          <w:rFonts w:asciiTheme="minorHAnsi" w:hAnsiTheme="minorHAnsi" w:cstheme="minorHAnsi"/>
          <w:sz w:val="22"/>
          <w:szCs w:val="22"/>
        </w:rPr>
        <w:t xml:space="preserve"> na dan 31.12.2023.</w:t>
      </w:r>
      <w:r w:rsidR="00B51E67" w:rsidRPr="00110644">
        <w:rPr>
          <w:rFonts w:asciiTheme="minorHAnsi" w:hAnsiTheme="minorHAnsi" w:cstheme="minorHAnsi"/>
          <w:sz w:val="22"/>
          <w:szCs w:val="22"/>
        </w:rPr>
        <w:t xml:space="preserve"> </w:t>
      </w:r>
      <w:r w:rsidR="00416E48" w:rsidRPr="00110644">
        <w:rPr>
          <w:rFonts w:asciiTheme="minorHAnsi" w:hAnsiTheme="minorHAnsi" w:cstheme="minorHAnsi"/>
          <w:sz w:val="22"/>
          <w:szCs w:val="22"/>
        </w:rPr>
        <w:t>Novost su tužbe (6 tužbi) vozača u timu SP koji traže koeficijent med</w:t>
      </w:r>
      <w:r w:rsidR="00CE2845" w:rsidRPr="00110644">
        <w:rPr>
          <w:rFonts w:asciiTheme="minorHAnsi" w:hAnsiTheme="minorHAnsi" w:cstheme="minorHAnsi"/>
          <w:sz w:val="22"/>
          <w:szCs w:val="22"/>
        </w:rPr>
        <w:t>icinskog</w:t>
      </w:r>
      <w:r w:rsidR="00416E48" w:rsidRPr="00110644">
        <w:rPr>
          <w:rFonts w:asciiTheme="minorHAnsi" w:hAnsiTheme="minorHAnsi" w:cstheme="minorHAnsi"/>
          <w:sz w:val="22"/>
          <w:szCs w:val="22"/>
        </w:rPr>
        <w:t xml:space="preserve"> tehničara.</w:t>
      </w:r>
    </w:p>
    <w:tbl>
      <w:tblPr>
        <w:tblpPr w:leftFromText="180" w:rightFromText="180" w:bottomFromText="11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2308"/>
        <w:gridCol w:w="5488"/>
      </w:tblGrid>
      <w:tr w:rsidR="00CA5C33" w:rsidRPr="00CA5C33" w14:paraId="52A05514" w14:textId="77777777" w:rsidTr="00C04684">
        <w:trPr>
          <w:trHeight w:val="418"/>
        </w:trPr>
        <w:tc>
          <w:tcPr>
            <w:tcW w:w="1011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F636E" w14:textId="77777777" w:rsidR="00CA5C33" w:rsidRPr="00CA5C33" w:rsidRDefault="00CA5C33" w:rsidP="00CA5C33">
            <w:pPr>
              <w:spacing w:after="0" w:line="252" w:lineRule="auto"/>
              <w:ind w:firstLine="0"/>
              <w:jc w:val="center"/>
              <w:rPr>
                <w:rFonts w:eastAsia="Calibri" w:cs="Calibri"/>
              </w:rPr>
            </w:pPr>
            <w:r w:rsidRPr="00CA5C33">
              <w:rPr>
                <w:rFonts w:eastAsia="Calibri" w:cs="Calibri"/>
                <w:sz w:val="22"/>
                <w:szCs w:val="22"/>
              </w:rPr>
              <w:t>TUŽITELJ</w:t>
            </w:r>
          </w:p>
        </w:tc>
        <w:tc>
          <w:tcPr>
            <w:tcW w:w="1181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A8697" w14:textId="4F0FEC3C" w:rsidR="00CA5C33" w:rsidRPr="00CA5C33" w:rsidRDefault="00CA5C33" w:rsidP="00CA5C33">
            <w:pPr>
              <w:spacing w:after="0" w:line="252" w:lineRule="auto"/>
              <w:ind w:firstLine="0"/>
              <w:jc w:val="center"/>
              <w:rPr>
                <w:rFonts w:eastAsia="Calibri" w:cs="Calibri"/>
              </w:rPr>
            </w:pPr>
            <w:r w:rsidRPr="00CA5C33">
              <w:rPr>
                <w:rFonts w:eastAsia="Calibri" w:cs="Calibri"/>
                <w:sz w:val="22"/>
                <w:szCs w:val="22"/>
              </w:rPr>
              <w:t>TUŽBENI</w:t>
            </w:r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r w:rsidRPr="00CA5C33">
              <w:rPr>
                <w:rFonts w:eastAsia="Calibri" w:cs="Calibri"/>
                <w:sz w:val="22"/>
                <w:szCs w:val="22"/>
              </w:rPr>
              <w:t>ZAHTJEV</w:t>
            </w:r>
          </w:p>
        </w:tc>
        <w:tc>
          <w:tcPr>
            <w:tcW w:w="2808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A2028" w14:textId="77777777" w:rsidR="00CA5C33" w:rsidRPr="00CA5C33" w:rsidRDefault="00CA5C33" w:rsidP="00CA5C33">
            <w:pPr>
              <w:spacing w:after="0" w:line="252" w:lineRule="auto"/>
              <w:ind w:firstLine="0"/>
              <w:jc w:val="center"/>
              <w:rPr>
                <w:rFonts w:eastAsia="Calibri" w:cs="Calibri"/>
              </w:rPr>
            </w:pPr>
            <w:r w:rsidRPr="00CA5C33">
              <w:rPr>
                <w:rFonts w:eastAsia="Calibri" w:cs="Calibri"/>
                <w:sz w:val="22"/>
                <w:szCs w:val="22"/>
              </w:rPr>
              <w:t>Opis predmeta</w:t>
            </w:r>
          </w:p>
        </w:tc>
      </w:tr>
      <w:tr w:rsidR="00D83226" w:rsidRPr="00CA5C33" w14:paraId="173E4E47" w14:textId="77777777" w:rsidTr="00C04684">
        <w:trPr>
          <w:trHeight w:val="375"/>
        </w:trPr>
        <w:tc>
          <w:tcPr>
            <w:tcW w:w="10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CC318" w14:textId="0F6AF489" w:rsidR="00D83226" w:rsidRPr="00CA5C33" w:rsidRDefault="00D83226" w:rsidP="00D83226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I.N.</w:t>
            </w:r>
          </w:p>
        </w:tc>
        <w:tc>
          <w:tcPr>
            <w:tcW w:w="11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55FF5" w14:textId="77777777" w:rsidR="00D83226" w:rsidRPr="00CA5C33" w:rsidRDefault="00D83226" w:rsidP="00D83226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0"/>
                <w:szCs w:val="20"/>
              </w:rPr>
            </w:pPr>
            <w:r w:rsidRPr="00CA5C33">
              <w:rPr>
                <w:rFonts w:eastAsia="Calibri" w:cs="Calibri"/>
                <w:sz w:val="20"/>
                <w:szCs w:val="20"/>
              </w:rPr>
              <w:t>Nije specificiran</w:t>
            </w:r>
          </w:p>
        </w:tc>
        <w:tc>
          <w:tcPr>
            <w:tcW w:w="28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F3E1A" w14:textId="77777777" w:rsidR="00D83226" w:rsidRPr="00CA5C33" w:rsidRDefault="00D83226" w:rsidP="00D83226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0"/>
                <w:szCs w:val="20"/>
              </w:rPr>
            </w:pPr>
            <w:r w:rsidRPr="00CA5C33">
              <w:rPr>
                <w:rFonts w:eastAsia="Calibri" w:cs="Calibri"/>
                <w:sz w:val="20"/>
                <w:szCs w:val="20"/>
              </w:rPr>
              <w:t xml:space="preserve">naknada štete iz 2005. godine, 2007. prekid postupka </w:t>
            </w:r>
          </w:p>
        </w:tc>
      </w:tr>
      <w:tr w:rsidR="00D83226" w:rsidRPr="00CA5C33" w14:paraId="69103293" w14:textId="77777777" w:rsidTr="00C04684">
        <w:trPr>
          <w:trHeight w:val="375"/>
        </w:trPr>
        <w:tc>
          <w:tcPr>
            <w:tcW w:w="10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DC3AC" w14:textId="01338F22" w:rsidR="00D83226" w:rsidRPr="00CA5C33" w:rsidRDefault="00D83226" w:rsidP="00D83226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Z.B i dr.(6)</w:t>
            </w:r>
          </w:p>
        </w:tc>
        <w:tc>
          <w:tcPr>
            <w:tcW w:w="11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87B11" w14:textId="77777777" w:rsidR="00D83226" w:rsidRPr="00CA5C33" w:rsidRDefault="00D83226" w:rsidP="00D83226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0"/>
                <w:szCs w:val="20"/>
              </w:rPr>
            </w:pPr>
            <w:r w:rsidRPr="00CA5C33">
              <w:rPr>
                <w:rFonts w:eastAsia="Calibri" w:cs="Calibri"/>
                <w:sz w:val="20"/>
                <w:szCs w:val="20"/>
              </w:rPr>
              <w:t>2.628.500,00 kn/</w:t>
            </w:r>
            <w:r w:rsidRPr="00CA5C33">
              <w:rPr>
                <w:rFonts w:eastAsia="Calibri" w:cs="Calibri"/>
                <w:sz w:val="22"/>
                <w:szCs w:val="22"/>
                <w:lang w:eastAsia="en-US"/>
              </w:rPr>
              <w:t xml:space="preserve"> </w:t>
            </w:r>
            <w:r w:rsidRPr="00CA5C33">
              <w:rPr>
                <w:rFonts w:eastAsia="Calibri" w:cs="Calibri"/>
                <w:sz w:val="20"/>
                <w:szCs w:val="20"/>
              </w:rPr>
              <w:t>348.861,90 EUR</w:t>
            </w:r>
          </w:p>
        </w:tc>
        <w:tc>
          <w:tcPr>
            <w:tcW w:w="28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6365D" w14:textId="77777777" w:rsidR="00D83226" w:rsidRPr="00CA5C33" w:rsidRDefault="00D83226" w:rsidP="00D83226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0"/>
                <w:szCs w:val="20"/>
              </w:rPr>
            </w:pPr>
            <w:r w:rsidRPr="00CA5C33">
              <w:rPr>
                <w:rFonts w:eastAsia="Calibri" w:cs="Calibri"/>
                <w:sz w:val="20"/>
                <w:szCs w:val="20"/>
              </w:rPr>
              <w:t>naknada štete iz 2008., odlukom Vrhovnog suda RH od 28. 11. 2023.</w:t>
            </w:r>
            <w:r w:rsidRPr="00CA5C33">
              <w:rPr>
                <w:rFonts w:eastAsia="Calibri" w:cs="Calibri"/>
                <w:sz w:val="22"/>
                <w:szCs w:val="22"/>
                <w:lang w:eastAsia="en-US"/>
              </w:rPr>
              <w:t xml:space="preserve"> </w:t>
            </w:r>
            <w:r w:rsidRPr="00CA5C33">
              <w:rPr>
                <w:rFonts w:eastAsia="Calibri" w:cs="Calibri"/>
                <w:sz w:val="20"/>
                <w:szCs w:val="20"/>
              </w:rPr>
              <w:t>dopuštena je revizija</w:t>
            </w:r>
          </w:p>
        </w:tc>
      </w:tr>
      <w:tr w:rsidR="00D83226" w:rsidRPr="00CA5C33" w14:paraId="01945A73" w14:textId="77777777" w:rsidTr="00C04684">
        <w:trPr>
          <w:trHeight w:val="329"/>
        </w:trPr>
        <w:tc>
          <w:tcPr>
            <w:tcW w:w="10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1125C" w14:textId="4777A0D4" w:rsidR="00D83226" w:rsidRPr="00CA5C33" w:rsidRDefault="00D83226" w:rsidP="00D83226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Z.B.</w:t>
            </w:r>
          </w:p>
        </w:tc>
        <w:tc>
          <w:tcPr>
            <w:tcW w:w="11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A2EE8" w14:textId="77777777" w:rsidR="00D83226" w:rsidRPr="00CA5C33" w:rsidRDefault="00D83226" w:rsidP="00D83226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CA5C33">
              <w:rPr>
                <w:rFonts w:eastAsia="Calibri" w:cs="Calibri"/>
                <w:sz w:val="20"/>
                <w:szCs w:val="20"/>
              </w:rPr>
              <w:t>60.000 kn/</w:t>
            </w:r>
            <w:r w:rsidRPr="00CA5C33">
              <w:rPr>
                <w:rFonts w:eastAsia="Calibri" w:cs="Calibri"/>
                <w:sz w:val="22"/>
                <w:szCs w:val="22"/>
                <w:lang w:eastAsia="en-US"/>
              </w:rPr>
              <w:t xml:space="preserve"> </w:t>
            </w:r>
          </w:p>
          <w:p w14:paraId="7E46722A" w14:textId="77777777" w:rsidR="00D83226" w:rsidRPr="00CA5C33" w:rsidRDefault="00D83226" w:rsidP="00D83226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0"/>
                <w:szCs w:val="20"/>
              </w:rPr>
            </w:pPr>
            <w:r w:rsidRPr="00CA5C33">
              <w:rPr>
                <w:rFonts w:eastAsia="Calibri" w:cs="Calibri"/>
                <w:sz w:val="22"/>
                <w:szCs w:val="22"/>
                <w:lang w:eastAsia="en-US"/>
              </w:rPr>
              <w:t>7.</w:t>
            </w:r>
            <w:r w:rsidRPr="00CA5C33">
              <w:rPr>
                <w:rFonts w:eastAsia="Calibri" w:cs="Calibri"/>
                <w:sz w:val="20"/>
                <w:szCs w:val="20"/>
              </w:rPr>
              <w:t>963,37 EUR</w:t>
            </w:r>
          </w:p>
        </w:tc>
        <w:tc>
          <w:tcPr>
            <w:tcW w:w="28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6A712" w14:textId="77777777" w:rsidR="00D83226" w:rsidRPr="00CA5C33" w:rsidRDefault="00D83226" w:rsidP="00D83226">
            <w:pPr>
              <w:spacing w:after="160" w:line="252" w:lineRule="auto"/>
              <w:ind w:firstLine="0"/>
              <w:contextualSpacing/>
              <w:rPr>
                <w:rFonts w:eastAsia="Calibri" w:cs="Calibri"/>
                <w:sz w:val="20"/>
                <w:szCs w:val="20"/>
              </w:rPr>
            </w:pPr>
            <w:r w:rsidRPr="00CA5C33">
              <w:rPr>
                <w:rFonts w:eastAsia="Calibri" w:cs="Calibri"/>
                <w:sz w:val="20"/>
                <w:szCs w:val="20"/>
              </w:rPr>
              <w:t xml:space="preserve">naknade štete – ozljeda na radu 2017. </w:t>
            </w:r>
          </w:p>
        </w:tc>
      </w:tr>
      <w:tr w:rsidR="00D83226" w:rsidRPr="00CA5C33" w14:paraId="71F98B8A" w14:textId="77777777" w:rsidTr="00C04684">
        <w:trPr>
          <w:trHeight w:val="329"/>
        </w:trPr>
        <w:tc>
          <w:tcPr>
            <w:tcW w:w="10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E9976" w14:textId="664FCB70" w:rsidR="00D83226" w:rsidRPr="00CA5C33" w:rsidRDefault="00D83226" w:rsidP="00D83226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I.K.</w:t>
            </w:r>
          </w:p>
        </w:tc>
        <w:tc>
          <w:tcPr>
            <w:tcW w:w="11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219BC" w14:textId="77777777" w:rsidR="00D83226" w:rsidRPr="00CA5C33" w:rsidRDefault="00D83226" w:rsidP="00D83226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0"/>
                <w:szCs w:val="20"/>
              </w:rPr>
            </w:pPr>
            <w:r w:rsidRPr="00CA5C33">
              <w:rPr>
                <w:rFonts w:eastAsia="Calibri" w:cs="Calibri"/>
                <w:sz w:val="20"/>
                <w:szCs w:val="20"/>
              </w:rPr>
              <w:t>87.775,27 kn / 11.649,78 EUR</w:t>
            </w:r>
          </w:p>
        </w:tc>
        <w:tc>
          <w:tcPr>
            <w:tcW w:w="28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22CC8" w14:textId="77777777" w:rsidR="00D83226" w:rsidRPr="00CA5C33" w:rsidRDefault="00D83226" w:rsidP="00D83226">
            <w:pPr>
              <w:spacing w:after="160" w:line="252" w:lineRule="auto"/>
              <w:ind w:firstLine="0"/>
              <w:contextualSpacing/>
              <w:jc w:val="left"/>
              <w:rPr>
                <w:rFonts w:eastAsia="Calibri" w:cs="Calibri"/>
                <w:sz w:val="20"/>
                <w:szCs w:val="20"/>
              </w:rPr>
            </w:pPr>
            <w:r w:rsidRPr="00CA5C33">
              <w:rPr>
                <w:rFonts w:eastAsia="Calibri" w:cs="Calibri"/>
                <w:sz w:val="20"/>
                <w:szCs w:val="20"/>
              </w:rPr>
              <w:t>naknada štete – razlika plaće vozača HMP i SP,</w:t>
            </w:r>
          </w:p>
          <w:p w14:paraId="644CD0F7" w14:textId="77777777" w:rsidR="00D83226" w:rsidRPr="00CA5C33" w:rsidRDefault="00D83226" w:rsidP="00D83226">
            <w:pPr>
              <w:spacing w:after="160" w:line="252" w:lineRule="auto"/>
              <w:ind w:firstLine="0"/>
              <w:contextualSpacing/>
              <w:jc w:val="left"/>
              <w:rPr>
                <w:rFonts w:eastAsia="Calibri" w:cs="Calibri"/>
                <w:sz w:val="20"/>
                <w:szCs w:val="20"/>
              </w:rPr>
            </w:pPr>
            <w:r w:rsidRPr="00CA5C33">
              <w:rPr>
                <w:rFonts w:eastAsia="Calibri" w:cs="Calibri"/>
                <w:sz w:val="20"/>
                <w:szCs w:val="20"/>
              </w:rPr>
              <w:t>29.12.2023. uložena žalba</w:t>
            </w:r>
          </w:p>
        </w:tc>
      </w:tr>
      <w:tr w:rsidR="00D83226" w:rsidRPr="00CA5C33" w14:paraId="18BD4807" w14:textId="77777777" w:rsidTr="00C04684">
        <w:trPr>
          <w:trHeight w:val="699"/>
        </w:trPr>
        <w:tc>
          <w:tcPr>
            <w:tcW w:w="10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B17FC" w14:textId="0E733E56" w:rsidR="00D83226" w:rsidRPr="00CA5C33" w:rsidRDefault="00D83226" w:rsidP="00D83226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M.S.</w:t>
            </w:r>
          </w:p>
        </w:tc>
        <w:tc>
          <w:tcPr>
            <w:tcW w:w="11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3D2EC" w14:textId="77777777" w:rsidR="00D83226" w:rsidRPr="00CA5C33" w:rsidRDefault="00D83226" w:rsidP="00D83226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0"/>
                <w:szCs w:val="20"/>
              </w:rPr>
            </w:pPr>
            <w:r w:rsidRPr="00CA5C33">
              <w:rPr>
                <w:rFonts w:eastAsia="Calibri" w:cs="Calibri"/>
                <w:sz w:val="20"/>
                <w:szCs w:val="20"/>
              </w:rPr>
              <w:t>22.000 kn/</w:t>
            </w:r>
          </w:p>
          <w:p w14:paraId="3C3F804D" w14:textId="77777777" w:rsidR="00D83226" w:rsidRPr="00CA5C33" w:rsidRDefault="00D83226" w:rsidP="00D83226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0"/>
                <w:szCs w:val="20"/>
              </w:rPr>
            </w:pPr>
            <w:r w:rsidRPr="00CA5C33">
              <w:rPr>
                <w:rFonts w:eastAsia="Calibri" w:cs="Calibri"/>
                <w:sz w:val="20"/>
                <w:szCs w:val="20"/>
              </w:rPr>
              <w:t>2.919,90 EUR</w:t>
            </w:r>
          </w:p>
        </w:tc>
        <w:tc>
          <w:tcPr>
            <w:tcW w:w="28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9D845" w14:textId="77777777" w:rsidR="00D83226" w:rsidRPr="00CA5C33" w:rsidRDefault="00D83226" w:rsidP="00D83226">
            <w:pPr>
              <w:spacing w:after="160" w:line="252" w:lineRule="auto"/>
              <w:ind w:firstLine="0"/>
              <w:contextualSpacing/>
              <w:jc w:val="left"/>
              <w:rPr>
                <w:rFonts w:eastAsia="Calibri" w:cs="Calibri"/>
                <w:sz w:val="20"/>
                <w:szCs w:val="20"/>
              </w:rPr>
            </w:pPr>
            <w:r w:rsidRPr="00CA5C33">
              <w:rPr>
                <w:rFonts w:eastAsia="Calibri" w:cs="Calibri"/>
                <w:sz w:val="20"/>
                <w:szCs w:val="20"/>
              </w:rPr>
              <w:t>naknada štete – ozljeda na radu 2019.</w:t>
            </w:r>
          </w:p>
          <w:p w14:paraId="3F5AC827" w14:textId="77777777" w:rsidR="00D83226" w:rsidRPr="00CA5C33" w:rsidRDefault="00D83226" w:rsidP="00D83226">
            <w:pPr>
              <w:spacing w:after="160" w:line="252" w:lineRule="auto"/>
              <w:ind w:firstLine="0"/>
              <w:contextualSpacing/>
              <w:jc w:val="left"/>
              <w:rPr>
                <w:rFonts w:eastAsia="Calibri" w:cs="Calibri"/>
                <w:sz w:val="20"/>
                <w:szCs w:val="20"/>
              </w:rPr>
            </w:pPr>
          </w:p>
        </w:tc>
      </w:tr>
      <w:tr w:rsidR="00D83226" w:rsidRPr="00CA5C33" w14:paraId="223F0763" w14:textId="77777777" w:rsidTr="00C04684">
        <w:trPr>
          <w:trHeight w:val="329"/>
        </w:trPr>
        <w:tc>
          <w:tcPr>
            <w:tcW w:w="10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0EF70" w14:textId="720D2D14" w:rsidR="00D83226" w:rsidRPr="00CA5C33" w:rsidRDefault="00D83226" w:rsidP="00D83226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Ž.L.</w:t>
            </w:r>
          </w:p>
        </w:tc>
        <w:tc>
          <w:tcPr>
            <w:tcW w:w="11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E6CAF" w14:textId="77777777" w:rsidR="00D83226" w:rsidRPr="00CA5C33" w:rsidRDefault="00D83226" w:rsidP="00D83226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0"/>
                <w:szCs w:val="20"/>
              </w:rPr>
            </w:pPr>
            <w:r w:rsidRPr="00CA5C33">
              <w:rPr>
                <w:rFonts w:eastAsia="Calibri" w:cs="Calibri"/>
                <w:sz w:val="20"/>
                <w:szCs w:val="20"/>
              </w:rPr>
              <w:t>16.500,00 kn/</w:t>
            </w:r>
          </w:p>
          <w:p w14:paraId="704C5CF9" w14:textId="77777777" w:rsidR="00D83226" w:rsidRPr="00CA5C33" w:rsidRDefault="00D83226" w:rsidP="00D83226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0"/>
                <w:szCs w:val="20"/>
              </w:rPr>
            </w:pPr>
            <w:r w:rsidRPr="00CA5C33">
              <w:rPr>
                <w:rFonts w:eastAsia="Calibri" w:cs="Calibri"/>
                <w:sz w:val="20"/>
                <w:szCs w:val="20"/>
              </w:rPr>
              <w:t>2.189,93 EUR</w:t>
            </w:r>
          </w:p>
        </w:tc>
        <w:tc>
          <w:tcPr>
            <w:tcW w:w="28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7AFC6" w14:textId="77777777" w:rsidR="00D83226" w:rsidRPr="00CA5C33" w:rsidRDefault="00D83226" w:rsidP="00D83226">
            <w:pPr>
              <w:spacing w:after="160" w:line="252" w:lineRule="auto"/>
              <w:ind w:firstLine="0"/>
              <w:contextualSpacing/>
              <w:jc w:val="left"/>
              <w:rPr>
                <w:rFonts w:eastAsia="Calibri" w:cs="Calibri"/>
                <w:sz w:val="20"/>
                <w:szCs w:val="20"/>
              </w:rPr>
            </w:pPr>
            <w:r w:rsidRPr="00CA5C33">
              <w:rPr>
                <w:rFonts w:eastAsia="Calibri" w:cs="Calibri"/>
                <w:sz w:val="20"/>
                <w:szCs w:val="20"/>
              </w:rPr>
              <w:t>naknada štete – ozljeda na radu 2019.</w:t>
            </w:r>
          </w:p>
        </w:tc>
      </w:tr>
      <w:tr w:rsidR="00D83226" w:rsidRPr="00CA5C33" w14:paraId="6A2B9CEC" w14:textId="77777777" w:rsidTr="00C04684">
        <w:trPr>
          <w:trHeight w:val="329"/>
        </w:trPr>
        <w:tc>
          <w:tcPr>
            <w:tcW w:w="10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B2D3D" w14:textId="26CA62D4" w:rsidR="00D83226" w:rsidRPr="00CA5C33" w:rsidRDefault="00D83226" w:rsidP="00D83226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V.J.H</w:t>
            </w:r>
          </w:p>
        </w:tc>
        <w:tc>
          <w:tcPr>
            <w:tcW w:w="11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379EB" w14:textId="77777777" w:rsidR="00D83226" w:rsidRPr="00CA5C33" w:rsidRDefault="00D83226" w:rsidP="00D83226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0"/>
                <w:szCs w:val="20"/>
              </w:rPr>
            </w:pPr>
            <w:r w:rsidRPr="00CA5C33">
              <w:rPr>
                <w:rFonts w:eastAsia="Calibri" w:cs="Calibri"/>
                <w:sz w:val="20"/>
                <w:szCs w:val="20"/>
              </w:rPr>
              <w:t>Nije specificiran</w:t>
            </w:r>
          </w:p>
        </w:tc>
        <w:tc>
          <w:tcPr>
            <w:tcW w:w="2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8F067" w14:textId="77777777" w:rsidR="00D83226" w:rsidRPr="00CA5C33" w:rsidRDefault="00D83226" w:rsidP="00D83226">
            <w:pPr>
              <w:spacing w:after="160" w:line="252" w:lineRule="auto"/>
              <w:ind w:firstLine="0"/>
              <w:contextualSpacing/>
              <w:rPr>
                <w:rFonts w:eastAsia="Calibri" w:cs="Calibri"/>
                <w:sz w:val="20"/>
                <w:szCs w:val="20"/>
              </w:rPr>
            </w:pPr>
            <w:r w:rsidRPr="00CA5C33">
              <w:rPr>
                <w:rFonts w:eastAsia="Calibri" w:cs="Calibri"/>
                <w:sz w:val="20"/>
                <w:szCs w:val="20"/>
              </w:rPr>
              <w:t xml:space="preserve">naknada štete; I.st. presudom odbijen tužbeni zahtjev za iznos od 247.240 kn i 442.907 kn. II.st. presudom preinačena- Zavodu naložena isplata 196.847 kn. Revizijom ukinuta II.st. presuda i vraćeno na ponovno suđenje. </w:t>
            </w:r>
            <w:r w:rsidRPr="00CA5C33">
              <w:rPr>
                <w:rFonts w:eastAsia="Calibri" w:cs="Calibri"/>
                <w:b/>
                <w:bCs/>
                <w:sz w:val="20"/>
                <w:szCs w:val="20"/>
              </w:rPr>
              <w:t>Presuda je istovjetna prethodnoj presudi Županijskog suda,</w:t>
            </w:r>
            <w:r w:rsidRPr="00CA5C33">
              <w:rPr>
                <w:rFonts w:eastAsia="Calibri" w:cs="Calibri"/>
                <w:sz w:val="20"/>
                <w:szCs w:val="20"/>
              </w:rPr>
              <w:t xml:space="preserve"> uz  detaljnije obrazloženje dosuđenog iznosa naknade štete, a što je bila uputa Vrhovnog suda RH. </w:t>
            </w:r>
          </w:p>
        </w:tc>
      </w:tr>
      <w:tr w:rsidR="00D83226" w:rsidRPr="00CA5C33" w14:paraId="16DD0C1F" w14:textId="77777777" w:rsidTr="00C04684">
        <w:trPr>
          <w:trHeight w:val="329"/>
        </w:trPr>
        <w:tc>
          <w:tcPr>
            <w:tcW w:w="10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FED2B" w14:textId="1529917A" w:rsidR="00D83226" w:rsidRPr="00CA5C33" w:rsidRDefault="00D83226" w:rsidP="00D83226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R.L.</w:t>
            </w:r>
          </w:p>
        </w:tc>
        <w:tc>
          <w:tcPr>
            <w:tcW w:w="11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A3F86" w14:textId="77777777" w:rsidR="00D83226" w:rsidRPr="00CA5C33" w:rsidRDefault="00D83226" w:rsidP="00D83226">
            <w:pPr>
              <w:spacing w:after="0" w:line="252" w:lineRule="auto"/>
              <w:ind w:firstLine="0"/>
              <w:rPr>
                <w:rFonts w:eastAsia="Calibri" w:cs="Calibri"/>
                <w:sz w:val="20"/>
                <w:szCs w:val="20"/>
              </w:rPr>
            </w:pPr>
            <w:r w:rsidRPr="00CA5C33">
              <w:rPr>
                <w:rFonts w:eastAsia="Calibri" w:cs="Calibri"/>
                <w:sz w:val="20"/>
                <w:szCs w:val="20"/>
              </w:rPr>
              <w:t>32.000,00 kn/</w:t>
            </w:r>
          </w:p>
          <w:p w14:paraId="7953B44B" w14:textId="77777777" w:rsidR="00D83226" w:rsidRPr="00CA5C33" w:rsidRDefault="00D83226" w:rsidP="00D83226">
            <w:pPr>
              <w:spacing w:after="0" w:line="252" w:lineRule="auto"/>
              <w:ind w:firstLine="0"/>
              <w:rPr>
                <w:rFonts w:eastAsia="Calibri" w:cs="Calibri"/>
                <w:sz w:val="20"/>
                <w:szCs w:val="20"/>
              </w:rPr>
            </w:pPr>
            <w:r w:rsidRPr="00CA5C33">
              <w:rPr>
                <w:rFonts w:eastAsia="Calibri" w:cs="Calibri"/>
                <w:sz w:val="20"/>
                <w:szCs w:val="20"/>
              </w:rPr>
              <w:t>4.247,13 EUR</w:t>
            </w:r>
          </w:p>
        </w:tc>
        <w:tc>
          <w:tcPr>
            <w:tcW w:w="2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89F6E" w14:textId="77777777" w:rsidR="00D83226" w:rsidRPr="00CA5C33" w:rsidRDefault="00D83226" w:rsidP="00D83226">
            <w:pPr>
              <w:spacing w:after="160" w:line="252" w:lineRule="auto"/>
              <w:ind w:firstLine="0"/>
              <w:contextualSpacing/>
              <w:jc w:val="left"/>
              <w:rPr>
                <w:rFonts w:eastAsia="Calibri" w:cs="Calibri"/>
                <w:sz w:val="20"/>
                <w:szCs w:val="20"/>
              </w:rPr>
            </w:pPr>
            <w:r w:rsidRPr="00CA5C33">
              <w:rPr>
                <w:rFonts w:eastAsia="Calibri" w:cs="Calibri"/>
                <w:sz w:val="20"/>
                <w:szCs w:val="20"/>
              </w:rPr>
              <w:t>naknada štete – ozljeda na radu 2019.</w:t>
            </w:r>
          </w:p>
          <w:p w14:paraId="6648EDF0" w14:textId="77777777" w:rsidR="00D83226" w:rsidRPr="00CA5C33" w:rsidRDefault="00D83226" w:rsidP="00D83226">
            <w:pPr>
              <w:spacing w:after="160" w:line="252" w:lineRule="auto"/>
              <w:ind w:firstLine="0"/>
              <w:contextualSpacing/>
              <w:jc w:val="left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CA5C33">
              <w:rPr>
                <w:rFonts w:eastAsia="Calibri" w:cs="Calibri"/>
                <w:b/>
                <w:bCs/>
                <w:sz w:val="20"/>
                <w:szCs w:val="20"/>
              </w:rPr>
              <w:t>7.12.2022. tužitelj povukao tužbu</w:t>
            </w:r>
          </w:p>
        </w:tc>
      </w:tr>
      <w:tr w:rsidR="00D83226" w:rsidRPr="00CA5C33" w14:paraId="4940AC11" w14:textId="77777777" w:rsidTr="00C04684">
        <w:trPr>
          <w:trHeight w:val="329"/>
        </w:trPr>
        <w:tc>
          <w:tcPr>
            <w:tcW w:w="10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6C55F" w14:textId="0E0A8D01" w:rsidR="00D83226" w:rsidRPr="00CA5C33" w:rsidRDefault="00D83226" w:rsidP="00D83226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I.B.K</w:t>
            </w:r>
          </w:p>
        </w:tc>
        <w:tc>
          <w:tcPr>
            <w:tcW w:w="11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EABA0" w14:textId="77777777" w:rsidR="00D83226" w:rsidRPr="00CA5C33" w:rsidRDefault="00D83226" w:rsidP="00D83226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0"/>
                <w:szCs w:val="20"/>
              </w:rPr>
            </w:pPr>
            <w:r w:rsidRPr="00CA5C33">
              <w:rPr>
                <w:rFonts w:eastAsia="Calibri" w:cs="Calibri"/>
                <w:sz w:val="20"/>
                <w:szCs w:val="20"/>
              </w:rPr>
              <w:t>199.560,00 kn/</w:t>
            </w:r>
          </w:p>
          <w:p w14:paraId="73BAD1FE" w14:textId="77777777" w:rsidR="00D83226" w:rsidRPr="00CA5C33" w:rsidRDefault="00D83226" w:rsidP="00D83226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0"/>
                <w:szCs w:val="20"/>
              </w:rPr>
            </w:pPr>
            <w:r w:rsidRPr="00CA5C33">
              <w:rPr>
                <w:rFonts w:eastAsia="Calibri" w:cs="Calibri"/>
                <w:sz w:val="20"/>
                <w:szCs w:val="20"/>
              </w:rPr>
              <w:t>26.486,16 EUR</w:t>
            </w:r>
          </w:p>
        </w:tc>
        <w:tc>
          <w:tcPr>
            <w:tcW w:w="2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6F84E" w14:textId="77777777" w:rsidR="00D83226" w:rsidRPr="00CA5C33" w:rsidRDefault="00D83226" w:rsidP="00D83226">
            <w:pPr>
              <w:spacing w:after="160" w:line="252" w:lineRule="auto"/>
              <w:ind w:firstLine="0"/>
              <w:contextualSpacing/>
              <w:jc w:val="left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CA5C33">
              <w:rPr>
                <w:rFonts w:eastAsia="Calibri" w:cs="Calibri"/>
                <w:b/>
                <w:bCs/>
                <w:sz w:val="20"/>
                <w:szCs w:val="20"/>
              </w:rPr>
              <w:t xml:space="preserve">12.9.2023. Zavod povukao tužbu </w:t>
            </w:r>
          </w:p>
        </w:tc>
      </w:tr>
      <w:tr w:rsidR="00CA5C33" w:rsidRPr="00CA5C33" w14:paraId="6E67DD24" w14:textId="77777777" w:rsidTr="00C04684">
        <w:trPr>
          <w:trHeight w:val="329"/>
        </w:trPr>
        <w:tc>
          <w:tcPr>
            <w:tcW w:w="10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5D8F3" w14:textId="77777777" w:rsidR="00CA5C33" w:rsidRPr="00CA5C33" w:rsidRDefault="00CA5C33" w:rsidP="00CA5C33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0"/>
                <w:szCs w:val="20"/>
              </w:rPr>
            </w:pPr>
            <w:r w:rsidRPr="00CA5C33">
              <w:rPr>
                <w:rFonts w:eastAsia="Calibri" w:cs="Calibri"/>
                <w:sz w:val="20"/>
                <w:szCs w:val="20"/>
              </w:rPr>
              <w:t>6 tužbi</w:t>
            </w:r>
          </w:p>
        </w:tc>
        <w:tc>
          <w:tcPr>
            <w:tcW w:w="11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B4C6" w14:textId="77777777" w:rsidR="00CA5C33" w:rsidRPr="00CA5C33" w:rsidRDefault="00CA5C33" w:rsidP="00CA5C33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3E93F" w14:textId="77777777" w:rsidR="00CA5C33" w:rsidRPr="00CA5C33" w:rsidRDefault="00CA5C33" w:rsidP="00CA5C33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0"/>
                <w:szCs w:val="20"/>
              </w:rPr>
            </w:pPr>
            <w:r w:rsidRPr="00CA5C33">
              <w:rPr>
                <w:rFonts w:eastAsia="Calibri" w:cs="Calibri"/>
                <w:sz w:val="20"/>
                <w:szCs w:val="20"/>
              </w:rPr>
              <w:t>VOZAČI U TIMU SP TRAŽE KOEFICIJENT MED.TEHNIČARA</w:t>
            </w:r>
          </w:p>
        </w:tc>
      </w:tr>
      <w:tr w:rsidR="00CA5C33" w:rsidRPr="00CA5C33" w14:paraId="759B0B8C" w14:textId="77777777" w:rsidTr="00C04684">
        <w:trPr>
          <w:trHeight w:val="281"/>
        </w:trPr>
        <w:tc>
          <w:tcPr>
            <w:tcW w:w="10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BA451" w14:textId="77777777" w:rsidR="00CA5C33" w:rsidRPr="00CA5C33" w:rsidRDefault="00CA5C33" w:rsidP="00CA5C33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0"/>
                <w:szCs w:val="20"/>
              </w:rPr>
            </w:pPr>
            <w:r w:rsidRPr="00CA5C33">
              <w:rPr>
                <w:rFonts w:eastAsia="Calibri" w:cs="Calibri"/>
                <w:sz w:val="20"/>
                <w:szCs w:val="20"/>
              </w:rPr>
              <w:t>381 tužba</w:t>
            </w:r>
          </w:p>
        </w:tc>
        <w:tc>
          <w:tcPr>
            <w:tcW w:w="11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B832D" w14:textId="77777777" w:rsidR="00CA5C33" w:rsidRPr="00CA5C33" w:rsidRDefault="00CA5C33" w:rsidP="00CA5C33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447B0" w14:textId="77777777" w:rsidR="00CA5C33" w:rsidRPr="00CA5C33" w:rsidRDefault="00CA5C33" w:rsidP="00CA5C33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0"/>
                <w:szCs w:val="20"/>
              </w:rPr>
            </w:pPr>
            <w:r w:rsidRPr="00CA5C33">
              <w:rPr>
                <w:rFonts w:eastAsia="Calibri" w:cs="Calibri"/>
                <w:sz w:val="20"/>
                <w:szCs w:val="20"/>
              </w:rPr>
              <w:t>PREKOVREMENI SATI</w:t>
            </w:r>
          </w:p>
          <w:p w14:paraId="499F0BF8" w14:textId="77777777" w:rsidR="00CA5C33" w:rsidRPr="00CA5C33" w:rsidRDefault="00CA5C33" w:rsidP="00CA5C33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0"/>
                <w:szCs w:val="20"/>
              </w:rPr>
            </w:pPr>
            <w:r w:rsidRPr="00CA5C33">
              <w:rPr>
                <w:rFonts w:eastAsia="Calibri" w:cs="Calibri"/>
                <w:sz w:val="20"/>
                <w:szCs w:val="20"/>
              </w:rPr>
              <w:t>pravomoćno: 294 predmeta</w:t>
            </w:r>
          </w:p>
        </w:tc>
      </w:tr>
      <w:tr w:rsidR="00CA5C33" w:rsidRPr="00CA5C33" w14:paraId="4AB3A5B6" w14:textId="77777777" w:rsidTr="00C04684">
        <w:trPr>
          <w:trHeight w:val="329"/>
        </w:trPr>
        <w:tc>
          <w:tcPr>
            <w:tcW w:w="10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6ED9F" w14:textId="77777777" w:rsidR="00CA5C33" w:rsidRPr="00CA5C33" w:rsidRDefault="00CA5C33" w:rsidP="00CA5C33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0"/>
                <w:szCs w:val="20"/>
              </w:rPr>
            </w:pPr>
            <w:r w:rsidRPr="00CA5C33">
              <w:rPr>
                <w:rFonts w:eastAsia="Calibri" w:cs="Calibri"/>
                <w:sz w:val="20"/>
                <w:szCs w:val="20"/>
              </w:rPr>
              <w:t>256 tužbi</w:t>
            </w:r>
          </w:p>
        </w:tc>
        <w:tc>
          <w:tcPr>
            <w:tcW w:w="11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6DF08" w14:textId="77777777" w:rsidR="00CA5C33" w:rsidRPr="00CA5C33" w:rsidRDefault="00CA5C33" w:rsidP="00CA5C33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6E975" w14:textId="77777777" w:rsidR="00CA5C33" w:rsidRPr="00CA5C33" w:rsidRDefault="00CA5C33" w:rsidP="00CA5C33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0"/>
                <w:szCs w:val="20"/>
              </w:rPr>
            </w:pPr>
            <w:r w:rsidRPr="00CA5C33">
              <w:rPr>
                <w:rFonts w:eastAsia="Calibri" w:cs="Calibri"/>
                <w:sz w:val="20"/>
                <w:szCs w:val="20"/>
              </w:rPr>
              <w:t>OSNOVICA IZ 2016.</w:t>
            </w:r>
          </w:p>
          <w:p w14:paraId="27F70626" w14:textId="77777777" w:rsidR="00CA5C33" w:rsidRPr="00CA5C33" w:rsidRDefault="00CA5C33" w:rsidP="00CA5C33">
            <w:pPr>
              <w:spacing w:after="0" w:line="252" w:lineRule="auto"/>
              <w:ind w:firstLine="0"/>
              <w:jc w:val="left"/>
              <w:rPr>
                <w:rFonts w:eastAsia="Calibri" w:cs="Calibri"/>
                <w:sz w:val="20"/>
                <w:szCs w:val="20"/>
              </w:rPr>
            </w:pPr>
            <w:r w:rsidRPr="00CA5C33">
              <w:rPr>
                <w:rFonts w:eastAsia="Calibri" w:cs="Calibri"/>
                <w:sz w:val="20"/>
                <w:szCs w:val="20"/>
              </w:rPr>
              <w:t>pravomoćno: 191 predmet</w:t>
            </w:r>
          </w:p>
        </w:tc>
      </w:tr>
    </w:tbl>
    <w:p w14:paraId="3BF2B366" w14:textId="77777777" w:rsidR="00CA5C33" w:rsidRPr="00110644" w:rsidRDefault="00CA5C33" w:rsidP="00A92160">
      <w:pPr>
        <w:rPr>
          <w:rFonts w:asciiTheme="minorHAnsi" w:hAnsiTheme="minorHAnsi" w:cstheme="minorHAnsi"/>
          <w:sz w:val="22"/>
          <w:szCs w:val="22"/>
        </w:rPr>
      </w:pPr>
    </w:p>
    <w:p w14:paraId="3012EB17" w14:textId="739B849A" w:rsidR="004E7A8C" w:rsidRPr="00E044BB" w:rsidRDefault="004E7A8C" w:rsidP="00DF3EEA">
      <w:pPr>
        <w:rPr>
          <w:rFonts w:asciiTheme="minorHAnsi" w:hAnsiTheme="minorHAnsi" w:cstheme="minorHAnsi"/>
          <w:sz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 xml:space="preserve">Dodatna potencijalna obveza u iznosu 331.751,51 eura nastala u 2023. a koja se odnosi na poslovni događaj iz 2022., generirana je dopisom Ministarstva zdravstva od 8. studenoga 2023., gdje je Zavod obaviješten da u 2022. sredstva isplaćena od strane Ministarstva zdravstva temeljem Odluke o isplati razlike iznosa uvećanja plaće za prekovremeni rad radnicima u djelatnosti zdravstva i zdravstvenog osiguranja (NN 101/21), nisu od strane Zavoda utrošena namjenski te se slijedom navedenoga </w:t>
      </w:r>
      <w:r w:rsidR="004F6079" w:rsidRPr="00110644">
        <w:rPr>
          <w:rFonts w:asciiTheme="minorHAnsi" w:hAnsiTheme="minorHAnsi" w:cstheme="minorHAnsi"/>
          <w:sz w:val="22"/>
          <w:szCs w:val="22"/>
        </w:rPr>
        <w:t xml:space="preserve">dopisa </w:t>
      </w:r>
      <w:r w:rsidRPr="00110644">
        <w:rPr>
          <w:rFonts w:asciiTheme="minorHAnsi" w:hAnsiTheme="minorHAnsi" w:cstheme="minorHAnsi"/>
          <w:sz w:val="22"/>
          <w:szCs w:val="22"/>
        </w:rPr>
        <w:t xml:space="preserve">zahtijeva povrat sredstava putem Osnivača, Grada Zagreba, u državni proračun. </w:t>
      </w:r>
      <w:r w:rsidRPr="00E044BB">
        <w:rPr>
          <w:rFonts w:asciiTheme="minorHAnsi" w:hAnsiTheme="minorHAnsi" w:cstheme="minorHAnsi"/>
          <w:sz w:val="22"/>
        </w:rPr>
        <w:t>Ne ulazeći u širu raspravu o nepostojanju odgovornosti Zavoda za utvrđivanje osnovice plaće u javnim službama, kao ni za nepravilni obračun plaće</w:t>
      </w:r>
      <w:r w:rsidR="00B42CA4" w:rsidRPr="00E044BB">
        <w:rPr>
          <w:rFonts w:asciiTheme="minorHAnsi" w:hAnsiTheme="minorHAnsi" w:cstheme="minorHAnsi"/>
          <w:sz w:val="22"/>
        </w:rPr>
        <w:t xml:space="preserve"> kroz COP</w:t>
      </w:r>
      <w:r w:rsidRPr="00E044BB">
        <w:rPr>
          <w:rFonts w:asciiTheme="minorHAnsi" w:hAnsiTheme="minorHAnsi" w:cstheme="minorHAnsi"/>
          <w:sz w:val="22"/>
        </w:rPr>
        <w:t>, Zavod nije ni teoretski mogao prikazati da refundirane iznose može isplatiti dobavljačima osim da prekrši pravilo za zakonito, namjensko i svrhovito korištenje sredstava, je</w:t>
      </w:r>
      <w:r w:rsidR="00C636C0" w:rsidRPr="00E044BB">
        <w:rPr>
          <w:rFonts w:asciiTheme="minorHAnsi" w:hAnsiTheme="minorHAnsi" w:cstheme="minorHAnsi"/>
          <w:sz w:val="22"/>
        </w:rPr>
        <w:t>r</w:t>
      </w:r>
      <w:r w:rsidRPr="00E044BB">
        <w:rPr>
          <w:rFonts w:asciiTheme="minorHAnsi" w:hAnsiTheme="minorHAnsi" w:cstheme="minorHAnsi"/>
          <w:sz w:val="22"/>
        </w:rPr>
        <w:t xml:space="preserve"> je jasno </w:t>
      </w:r>
      <w:r w:rsidR="00B42CA4" w:rsidRPr="00E044BB">
        <w:rPr>
          <w:rFonts w:asciiTheme="minorHAnsi" w:hAnsiTheme="minorHAnsi" w:cstheme="minorHAnsi"/>
          <w:sz w:val="22"/>
        </w:rPr>
        <w:t>komunicirano</w:t>
      </w:r>
      <w:r w:rsidR="004F6079" w:rsidRPr="00E044BB">
        <w:rPr>
          <w:rFonts w:asciiTheme="minorHAnsi" w:hAnsiTheme="minorHAnsi" w:cstheme="minorHAnsi"/>
          <w:sz w:val="22"/>
        </w:rPr>
        <w:t>,</w:t>
      </w:r>
      <w:r w:rsidR="00B42CA4" w:rsidRPr="00E044BB">
        <w:rPr>
          <w:rFonts w:asciiTheme="minorHAnsi" w:hAnsiTheme="minorHAnsi" w:cstheme="minorHAnsi"/>
          <w:sz w:val="22"/>
        </w:rPr>
        <w:t xml:space="preserve"> i Osnivaču i Ministarstvu</w:t>
      </w:r>
      <w:r w:rsidR="004F6079" w:rsidRPr="00E044BB">
        <w:rPr>
          <w:rFonts w:asciiTheme="minorHAnsi" w:hAnsiTheme="minorHAnsi" w:cstheme="minorHAnsi"/>
          <w:sz w:val="22"/>
        </w:rPr>
        <w:t>,</w:t>
      </w:r>
      <w:r w:rsidRPr="00E044BB">
        <w:rPr>
          <w:rFonts w:asciiTheme="minorHAnsi" w:hAnsiTheme="minorHAnsi" w:cstheme="minorHAnsi"/>
          <w:sz w:val="22"/>
        </w:rPr>
        <w:t xml:space="preserve"> da Zavod nema dospjelih obveza prema dobavljačima </w:t>
      </w:r>
      <w:r w:rsidR="00C636C0" w:rsidRPr="00E044BB">
        <w:rPr>
          <w:rFonts w:asciiTheme="minorHAnsi" w:hAnsiTheme="minorHAnsi" w:cstheme="minorHAnsi"/>
          <w:sz w:val="22"/>
        </w:rPr>
        <w:t>budući da</w:t>
      </w:r>
      <w:r w:rsidRPr="00E044BB">
        <w:rPr>
          <w:rFonts w:asciiTheme="minorHAnsi" w:hAnsiTheme="minorHAnsi" w:cstheme="minorHAnsi"/>
          <w:sz w:val="22"/>
        </w:rPr>
        <w:t xml:space="preserve"> sve svoje obveze podmiruje u roku</w:t>
      </w:r>
      <w:r w:rsidR="00B42CA4" w:rsidRPr="00E044BB">
        <w:rPr>
          <w:rFonts w:asciiTheme="minorHAnsi" w:hAnsiTheme="minorHAnsi" w:cstheme="minorHAnsi"/>
          <w:sz w:val="22"/>
        </w:rPr>
        <w:t>, što predstavlja primjer poželjnog ponašanja i rijetkost je u zdravstvenom sustavu.</w:t>
      </w:r>
      <w:r w:rsidRPr="00E044BB">
        <w:rPr>
          <w:rFonts w:asciiTheme="minorHAnsi" w:hAnsiTheme="minorHAnsi" w:cstheme="minorHAnsi"/>
          <w:sz w:val="22"/>
        </w:rPr>
        <w:t xml:space="preserve"> Zavod je od dana zaprimanja dopisa o mogućem povratu u kontinuiranoj suradnji s </w:t>
      </w:r>
      <w:r w:rsidR="00F77047" w:rsidRPr="00E044BB">
        <w:rPr>
          <w:rFonts w:asciiTheme="minorHAnsi" w:hAnsiTheme="minorHAnsi" w:cstheme="minorHAnsi"/>
          <w:sz w:val="22"/>
        </w:rPr>
        <w:t xml:space="preserve">Osnivačem </w:t>
      </w:r>
      <w:r w:rsidRPr="00E044BB">
        <w:rPr>
          <w:rFonts w:asciiTheme="minorHAnsi" w:hAnsiTheme="minorHAnsi" w:cstheme="minorHAnsi"/>
          <w:sz w:val="22"/>
        </w:rPr>
        <w:t>te će se u 2024. vidjeti modalitet rješavanja situacije opisane predmetnim dopisom Ministarstva zdravstva.</w:t>
      </w:r>
      <w:r w:rsidR="001749F6" w:rsidRPr="00E044BB">
        <w:rPr>
          <w:rFonts w:asciiTheme="minorHAnsi" w:hAnsiTheme="minorHAnsi" w:cstheme="minorHAnsi"/>
          <w:sz w:val="22"/>
        </w:rPr>
        <w:t xml:space="preserve"> </w:t>
      </w:r>
    </w:p>
    <w:p w14:paraId="7C0E9517" w14:textId="65D5B5F3" w:rsidR="00A92160" w:rsidRPr="00110644" w:rsidRDefault="00276236" w:rsidP="004B1680">
      <w:pPr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lastRenderedPageBreak/>
        <w:t xml:space="preserve">U </w:t>
      </w:r>
      <w:r w:rsidRPr="00110644">
        <w:rPr>
          <w:rFonts w:asciiTheme="minorHAnsi" w:hAnsiTheme="minorHAnsi" w:cstheme="minorHAnsi"/>
          <w:b/>
          <w:bCs/>
          <w:sz w:val="22"/>
          <w:szCs w:val="22"/>
          <w:u w:val="single"/>
        </w:rPr>
        <w:t>nefinancijsku imovinu</w:t>
      </w:r>
      <w:r w:rsidRPr="00110644">
        <w:rPr>
          <w:rFonts w:asciiTheme="minorHAnsi" w:hAnsiTheme="minorHAnsi" w:cstheme="minorHAnsi"/>
          <w:sz w:val="22"/>
          <w:szCs w:val="22"/>
        </w:rPr>
        <w:t xml:space="preserve"> u 202</w:t>
      </w:r>
      <w:r w:rsidR="001C0437" w:rsidRPr="00110644">
        <w:rPr>
          <w:rFonts w:asciiTheme="minorHAnsi" w:hAnsiTheme="minorHAnsi" w:cstheme="minorHAnsi"/>
          <w:sz w:val="22"/>
          <w:szCs w:val="22"/>
        </w:rPr>
        <w:t>3</w:t>
      </w:r>
      <w:r w:rsidRPr="00110644">
        <w:rPr>
          <w:rFonts w:asciiTheme="minorHAnsi" w:hAnsiTheme="minorHAnsi" w:cstheme="minorHAnsi"/>
          <w:sz w:val="22"/>
          <w:szCs w:val="22"/>
        </w:rPr>
        <w:t xml:space="preserve">. ukupno je uloženo </w:t>
      </w:r>
      <w:r w:rsidR="001C0437" w:rsidRPr="00110644">
        <w:rPr>
          <w:rFonts w:asciiTheme="minorHAnsi" w:hAnsiTheme="minorHAnsi" w:cstheme="minorHAnsi"/>
          <w:sz w:val="22"/>
          <w:szCs w:val="22"/>
        </w:rPr>
        <w:t xml:space="preserve">67.221,31 eur </w:t>
      </w:r>
      <w:r w:rsidRPr="00110644">
        <w:rPr>
          <w:rFonts w:asciiTheme="minorHAnsi" w:hAnsiTheme="minorHAnsi" w:cstheme="minorHAnsi"/>
          <w:sz w:val="22"/>
          <w:szCs w:val="22"/>
        </w:rPr>
        <w:t xml:space="preserve">i to </w:t>
      </w:r>
      <w:r w:rsidR="001C0437" w:rsidRPr="00110644">
        <w:rPr>
          <w:rFonts w:asciiTheme="minorHAnsi" w:hAnsiTheme="minorHAnsi" w:cstheme="minorHAnsi"/>
          <w:sz w:val="22"/>
          <w:szCs w:val="22"/>
        </w:rPr>
        <w:t>32.152 za uređenje medic</w:t>
      </w:r>
      <w:r w:rsidR="007F0EC4">
        <w:rPr>
          <w:rFonts w:asciiTheme="minorHAnsi" w:hAnsiTheme="minorHAnsi" w:cstheme="minorHAnsi"/>
          <w:sz w:val="22"/>
          <w:szCs w:val="22"/>
        </w:rPr>
        <w:t>insko prijavno-</w:t>
      </w:r>
      <w:r w:rsidR="001C025E" w:rsidRPr="00110644">
        <w:rPr>
          <w:rFonts w:asciiTheme="minorHAnsi" w:hAnsiTheme="minorHAnsi" w:cstheme="minorHAnsi"/>
          <w:sz w:val="22"/>
          <w:szCs w:val="22"/>
        </w:rPr>
        <w:t>dojavne jedinice</w:t>
      </w:r>
      <w:r w:rsidR="001C0437" w:rsidRPr="00110644">
        <w:rPr>
          <w:rFonts w:asciiTheme="minorHAnsi" w:hAnsiTheme="minorHAnsi" w:cstheme="minorHAnsi"/>
          <w:sz w:val="22"/>
          <w:szCs w:val="22"/>
        </w:rPr>
        <w:t xml:space="preserve"> te ostatak najviše za mehaničku medicinsku opremu (</w:t>
      </w:r>
      <w:r w:rsidR="007F0EC4">
        <w:rPr>
          <w:rFonts w:asciiTheme="minorHAnsi" w:hAnsiTheme="minorHAnsi" w:cstheme="minorHAnsi"/>
          <w:sz w:val="22"/>
          <w:szCs w:val="22"/>
        </w:rPr>
        <w:t xml:space="preserve">za </w:t>
      </w:r>
      <w:r w:rsidR="001C0437" w:rsidRPr="00110644">
        <w:rPr>
          <w:rFonts w:asciiTheme="minorHAnsi" w:hAnsiTheme="minorHAnsi" w:cstheme="minorHAnsi"/>
          <w:sz w:val="22"/>
          <w:szCs w:val="22"/>
        </w:rPr>
        <w:t>udlage</w:t>
      </w:r>
      <w:r w:rsidR="00FF0D96" w:rsidRPr="00110644">
        <w:rPr>
          <w:rFonts w:asciiTheme="minorHAnsi" w:hAnsiTheme="minorHAnsi" w:cstheme="minorHAnsi"/>
          <w:sz w:val="22"/>
          <w:szCs w:val="22"/>
        </w:rPr>
        <w:t xml:space="preserve">, edukacijske lutke, </w:t>
      </w:r>
      <w:proofErr w:type="spellStart"/>
      <w:r w:rsidR="00FF0D96" w:rsidRPr="00110644">
        <w:rPr>
          <w:rFonts w:asciiTheme="minorHAnsi" w:hAnsiTheme="minorHAnsi" w:cstheme="minorHAnsi"/>
          <w:sz w:val="22"/>
          <w:szCs w:val="22"/>
        </w:rPr>
        <w:t>reanimacijsk</w:t>
      </w:r>
      <w:r w:rsidR="00BD7C3C" w:rsidRPr="00110644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FF0D96" w:rsidRPr="00110644">
        <w:rPr>
          <w:rFonts w:asciiTheme="minorHAnsi" w:hAnsiTheme="minorHAnsi" w:cstheme="minorHAnsi"/>
          <w:sz w:val="22"/>
          <w:szCs w:val="22"/>
        </w:rPr>
        <w:t xml:space="preserve"> ruksa</w:t>
      </w:r>
      <w:r w:rsidR="00BD7C3C" w:rsidRPr="00110644">
        <w:rPr>
          <w:rFonts w:asciiTheme="minorHAnsi" w:hAnsiTheme="minorHAnsi" w:cstheme="minorHAnsi"/>
          <w:sz w:val="22"/>
          <w:szCs w:val="22"/>
        </w:rPr>
        <w:t>ke</w:t>
      </w:r>
      <w:r w:rsidR="00FF0D96" w:rsidRPr="00110644">
        <w:rPr>
          <w:rFonts w:asciiTheme="minorHAnsi" w:hAnsiTheme="minorHAnsi" w:cstheme="minorHAnsi"/>
          <w:sz w:val="22"/>
          <w:szCs w:val="22"/>
        </w:rPr>
        <w:t xml:space="preserve"> i dr.)</w:t>
      </w:r>
      <w:r w:rsidR="00BD7C3C" w:rsidRPr="00110644">
        <w:rPr>
          <w:rFonts w:asciiTheme="minorHAnsi" w:hAnsiTheme="minorHAnsi" w:cstheme="minorHAnsi"/>
          <w:sz w:val="22"/>
          <w:szCs w:val="22"/>
        </w:rPr>
        <w:t>. N</w:t>
      </w:r>
      <w:r w:rsidR="006A3B67" w:rsidRPr="00110644">
        <w:rPr>
          <w:rFonts w:asciiTheme="minorHAnsi" w:hAnsiTheme="minorHAnsi" w:cstheme="minorHAnsi"/>
          <w:sz w:val="22"/>
          <w:szCs w:val="22"/>
        </w:rPr>
        <w:t>efinancijska imovina</w:t>
      </w:r>
      <w:r w:rsidR="00BD7C3C" w:rsidRPr="00110644">
        <w:rPr>
          <w:rFonts w:asciiTheme="minorHAnsi" w:hAnsiTheme="minorHAnsi" w:cstheme="minorHAnsi"/>
          <w:sz w:val="22"/>
          <w:szCs w:val="22"/>
        </w:rPr>
        <w:t xml:space="preserve"> je financira</w:t>
      </w:r>
      <w:r w:rsidR="006A3B67" w:rsidRPr="00110644">
        <w:rPr>
          <w:rFonts w:asciiTheme="minorHAnsi" w:hAnsiTheme="minorHAnsi" w:cstheme="minorHAnsi"/>
          <w:sz w:val="22"/>
          <w:szCs w:val="22"/>
        </w:rPr>
        <w:t>na</w:t>
      </w:r>
      <w:r w:rsidR="00BD7C3C" w:rsidRPr="00110644">
        <w:rPr>
          <w:rFonts w:asciiTheme="minorHAnsi" w:hAnsiTheme="minorHAnsi" w:cstheme="minorHAnsi"/>
          <w:sz w:val="22"/>
          <w:szCs w:val="22"/>
        </w:rPr>
        <w:t xml:space="preserve"> iz</w:t>
      </w:r>
      <w:r w:rsidR="007C610E" w:rsidRPr="00110644">
        <w:rPr>
          <w:rFonts w:asciiTheme="minorHAnsi" w:hAnsiTheme="minorHAnsi" w:cstheme="minorHAnsi"/>
          <w:sz w:val="22"/>
          <w:szCs w:val="22"/>
        </w:rPr>
        <w:t xml:space="preserve"> sredstava lokanog proračuna (36.152 eur) i sredstava tekuće godine (31.069 eur).</w:t>
      </w:r>
    </w:p>
    <w:p w14:paraId="3F89BF48" w14:textId="16094A9E" w:rsidR="00A92160" w:rsidRPr="00110644" w:rsidRDefault="004718E6" w:rsidP="004B1680">
      <w:pPr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>T</w:t>
      </w:r>
      <w:r w:rsidR="00276236" w:rsidRPr="00110644">
        <w:rPr>
          <w:rFonts w:asciiTheme="minorHAnsi" w:hAnsiTheme="minorHAnsi" w:cstheme="minorHAnsi"/>
          <w:sz w:val="22"/>
          <w:szCs w:val="22"/>
        </w:rPr>
        <w:t xml:space="preserve">ijekom godine isknjižena je i prodana dugotrajna imovina koja se odnosi na sedam vozila koja su prodana putem Ugovora o posredovanju sa TRCZ Automobili d.o.o. </w:t>
      </w:r>
    </w:p>
    <w:p w14:paraId="095C2AE0" w14:textId="319EC047" w:rsidR="00C274EF" w:rsidRPr="00110644" w:rsidRDefault="0043263E" w:rsidP="00C274EF">
      <w:pPr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>Unutar nefinancijske imovine Zavod je u naravi nabavio sljedeće</w:t>
      </w:r>
      <w:r w:rsidR="00C274EF" w:rsidRPr="00110644">
        <w:rPr>
          <w:rFonts w:asciiTheme="minorHAnsi" w:hAnsiTheme="minorHAnsi" w:cstheme="minorHAnsi"/>
          <w:sz w:val="22"/>
          <w:szCs w:val="22"/>
        </w:rPr>
        <w:t>:</w:t>
      </w:r>
    </w:p>
    <w:p w14:paraId="2FE58979" w14:textId="505433E6" w:rsidR="00C274EF" w:rsidRPr="00110644" w:rsidRDefault="00C274EF" w:rsidP="0047329D">
      <w:pPr>
        <w:numPr>
          <w:ilvl w:val="0"/>
          <w:numId w:val="29"/>
        </w:numPr>
        <w:tabs>
          <w:tab w:val="right" w:pos="8789"/>
        </w:tabs>
        <w:spacing w:after="0" w:line="24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>ulag</w:t>
      </w:r>
      <w:r w:rsidR="00766574" w:rsidRPr="00110644">
        <w:rPr>
          <w:rFonts w:asciiTheme="minorHAnsi" w:hAnsiTheme="minorHAnsi" w:cstheme="minorHAnsi"/>
          <w:sz w:val="22"/>
          <w:szCs w:val="22"/>
        </w:rPr>
        <w:t>a</w:t>
      </w:r>
      <w:r w:rsidR="00443823" w:rsidRPr="00110644">
        <w:rPr>
          <w:rFonts w:asciiTheme="minorHAnsi" w:hAnsiTheme="minorHAnsi" w:cstheme="minorHAnsi"/>
          <w:sz w:val="22"/>
          <w:szCs w:val="22"/>
        </w:rPr>
        <w:t>n</w:t>
      </w:r>
      <w:r w:rsidR="00001F92" w:rsidRPr="00110644">
        <w:rPr>
          <w:rFonts w:asciiTheme="minorHAnsi" w:hAnsiTheme="minorHAnsi" w:cstheme="minorHAnsi"/>
          <w:sz w:val="22"/>
          <w:szCs w:val="22"/>
        </w:rPr>
        <w:t>je u tuđu imovinu</w:t>
      </w:r>
      <w:r w:rsidR="002F4AA8" w:rsidRPr="00110644">
        <w:rPr>
          <w:rFonts w:asciiTheme="minorHAnsi" w:hAnsiTheme="minorHAnsi" w:cstheme="minorHAnsi"/>
          <w:sz w:val="22"/>
          <w:szCs w:val="22"/>
        </w:rPr>
        <w:t xml:space="preserve"> (</w:t>
      </w:r>
      <w:r w:rsidR="00536B0B" w:rsidRPr="00110644">
        <w:rPr>
          <w:rFonts w:asciiTheme="minorHAnsi" w:hAnsiTheme="minorHAnsi" w:cstheme="minorHAnsi"/>
          <w:sz w:val="22"/>
          <w:szCs w:val="22"/>
        </w:rPr>
        <w:t>lijeva i desna rampa Heinzelova, uređenje PDJ</w:t>
      </w:r>
      <w:r w:rsidR="002F4AA8" w:rsidRPr="00110644">
        <w:rPr>
          <w:rFonts w:asciiTheme="minorHAnsi" w:hAnsiTheme="minorHAnsi" w:cstheme="minorHAnsi"/>
          <w:sz w:val="22"/>
          <w:szCs w:val="22"/>
        </w:rPr>
        <w:t>)</w:t>
      </w:r>
      <w:r w:rsidR="00001F92" w:rsidRPr="00110644">
        <w:rPr>
          <w:rFonts w:asciiTheme="minorHAnsi" w:hAnsiTheme="minorHAnsi" w:cstheme="minorHAnsi"/>
          <w:sz w:val="22"/>
          <w:szCs w:val="22"/>
        </w:rPr>
        <w:tab/>
      </w:r>
      <w:r w:rsidR="00DA3FC8" w:rsidRPr="00110644">
        <w:rPr>
          <w:rFonts w:asciiTheme="minorHAnsi" w:hAnsiTheme="minorHAnsi" w:cstheme="minorHAnsi"/>
          <w:sz w:val="22"/>
          <w:szCs w:val="22"/>
        </w:rPr>
        <w:t>20.385 eur</w:t>
      </w:r>
    </w:p>
    <w:p w14:paraId="5A41F3E5" w14:textId="4AE8E25E" w:rsidR="00DF3DA3" w:rsidRPr="00110644" w:rsidRDefault="00DF3DA3" w:rsidP="0047329D">
      <w:pPr>
        <w:numPr>
          <w:ilvl w:val="0"/>
          <w:numId w:val="29"/>
        </w:numPr>
        <w:tabs>
          <w:tab w:val="right" w:pos="8789"/>
        </w:tabs>
        <w:spacing w:after="0" w:line="24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 xml:space="preserve">medicinsku opremu (udlage, ruksaci, lutke, rezači odjeće, kovčezi)        </w:t>
      </w:r>
      <w:r w:rsidRPr="00110644">
        <w:rPr>
          <w:rFonts w:asciiTheme="minorHAnsi" w:hAnsiTheme="minorHAnsi" w:cstheme="minorHAnsi"/>
          <w:sz w:val="22"/>
          <w:szCs w:val="22"/>
        </w:rPr>
        <w:tab/>
        <w:t>17.082 eur</w:t>
      </w:r>
    </w:p>
    <w:p w14:paraId="12A58B0C" w14:textId="44766FD2" w:rsidR="00DF3DA3" w:rsidRPr="00110644" w:rsidRDefault="00DF3DA3" w:rsidP="0047329D">
      <w:pPr>
        <w:numPr>
          <w:ilvl w:val="0"/>
          <w:numId w:val="29"/>
        </w:numPr>
        <w:tabs>
          <w:tab w:val="right" w:pos="8789"/>
        </w:tabs>
        <w:spacing w:after="0" w:line="24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>uredski namještaj (stolice i zvučni paneli za PDJ)</w:t>
      </w:r>
      <w:r w:rsidRPr="00110644">
        <w:rPr>
          <w:rFonts w:asciiTheme="minorHAnsi" w:hAnsiTheme="minorHAnsi" w:cstheme="minorHAnsi"/>
          <w:sz w:val="22"/>
          <w:szCs w:val="22"/>
        </w:rPr>
        <w:tab/>
        <w:t>17.942 eur</w:t>
      </w:r>
    </w:p>
    <w:p w14:paraId="13D7C658" w14:textId="736858EE" w:rsidR="00C274EF" w:rsidRPr="00110644" w:rsidRDefault="004F01BB" w:rsidP="0047329D">
      <w:pPr>
        <w:numPr>
          <w:ilvl w:val="0"/>
          <w:numId w:val="29"/>
        </w:numPr>
        <w:tabs>
          <w:tab w:val="right" w:pos="8789"/>
        </w:tabs>
        <w:spacing w:after="0" w:line="24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>računala i računalna oprema</w:t>
      </w:r>
      <w:r w:rsidR="002F4AA8" w:rsidRPr="00110644">
        <w:rPr>
          <w:rFonts w:asciiTheme="minorHAnsi" w:hAnsiTheme="minorHAnsi" w:cstheme="minorHAnsi"/>
          <w:sz w:val="22"/>
          <w:szCs w:val="22"/>
        </w:rPr>
        <w:t xml:space="preserve"> (pisači</w:t>
      </w:r>
      <w:r w:rsidR="00DF3DA3" w:rsidRPr="00110644">
        <w:rPr>
          <w:rFonts w:asciiTheme="minorHAnsi" w:hAnsiTheme="minorHAnsi" w:cstheme="minorHAnsi"/>
          <w:sz w:val="22"/>
          <w:szCs w:val="22"/>
        </w:rPr>
        <w:t>, računala, monitori</w:t>
      </w:r>
      <w:r w:rsidR="002F4AA8" w:rsidRPr="00110644">
        <w:rPr>
          <w:rFonts w:asciiTheme="minorHAnsi" w:hAnsiTheme="minorHAnsi" w:cstheme="minorHAnsi"/>
          <w:sz w:val="22"/>
          <w:szCs w:val="22"/>
        </w:rPr>
        <w:t>)</w:t>
      </w:r>
      <w:r w:rsidR="00773124" w:rsidRPr="00110644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110644">
        <w:rPr>
          <w:rFonts w:asciiTheme="minorHAnsi" w:hAnsiTheme="minorHAnsi" w:cstheme="minorHAnsi"/>
          <w:sz w:val="22"/>
          <w:szCs w:val="22"/>
        </w:rPr>
        <w:t xml:space="preserve"> </w:t>
      </w:r>
      <w:r w:rsidR="00001F92" w:rsidRPr="00110644">
        <w:rPr>
          <w:rFonts w:asciiTheme="minorHAnsi" w:hAnsiTheme="minorHAnsi" w:cstheme="minorHAnsi"/>
          <w:sz w:val="22"/>
          <w:szCs w:val="22"/>
        </w:rPr>
        <w:tab/>
      </w:r>
      <w:r w:rsidR="00773124" w:rsidRPr="00110644">
        <w:rPr>
          <w:rFonts w:asciiTheme="minorHAnsi" w:hAnsiTheme="minorHAnsi" w:cstheme="minorHAnsi"/>
          <w:sz w:val="22"/>
          <w:szCs w:val="22"/>
        </w:rPr>
        <w:t xml:space="preserve"> </w:t>
      </w:r>
      <w:r w:rsidR="00DA3FC8" w:rsidRPr="00110644">
        <w:rPr>
          <w:rFonts w:asciiTheme="minorHAnsi" w:hAnsiTheme="minorHAnsi" w:cstheme="minorHAnsi"/>
          <w:sz w:val="22"/>
          <w:szCs w:val="22"/>
        </w:rPr>
        <w:t>5.974 eur</w:t>
      </w:r>
    </w:p>
    <w:p w14:paraId="2C090A8D" w14:textId="4E4B4B98" w:rsidR="00C274EF" w:rsidRPr="00110644" w:rsidRDefault="00773124" w:rsidP="0047329D">
      <w:pPr>
        <w:numPr>
          <w:ilvl w:val="0"/>
          <w:numId w:val="29"/>
        </w:numPr>
        <w:tabs>
          <w:tab w:val="right" w:pos="8789"/>
        </w:tabs>
        <w:spacing w:after="0" w:line="24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>str</w:t>
      </w:r>
      <w:r w:rsidR="002F4AA8" w:rsidRPr="00110644">
        <w:rPr>
          <w:rFonts w:asciiTheme="minorHAnsi" w:hAnsiTheme="minorHAnsi" w:cstheme="minorHAnsi"/>
          <w:sz w:val="22"/>
          <w:szCs w:val="22"/>
        </w:rPr>
        <w:t>ojevi (</w:t>
      </w:r>
      <w:proofErr w:type="spellStart"/>
      <w:r w:rsidR="00362708" w:rsidRPr="00110644">
        <w:rPr>
          <w:rFonts w:asciiTheme="minorHAnsi" w:hAnsiTheme="minorHAnsi" w:cstheme="minorHAnsi"/>
          <w:sz w:val="22"/>
          <w:szCs w:val="22"/>
        </w:rPr>
        <w:t>mehanotronički</w:t>
      </w:r>
      <w:proofErr w:type="spellEnd"/>
      <w:r w:rsidR="00362708" w:rsidRPr="001106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62708" w:rsidRPr="00110644">
        <w:rPr>
          <w:rFonts w:asciiTheme="minorHAnsi" w:hAnsiTheme="minorHAnsi" w:cstheme="minorHAnsi"/>
          <w:sz w:val="22"/>
          <w:szCs w:val="22"/>
        </w:rPr>
        <w:t>tester</w:t>
      </w:r>
      <w:proofErr w:type="spellEnd"/>
      <w:r w:rsidR="00362708" w:rsidRPr="00110644">
        <w:rPr>
          <w:rFonts w:asciiTheme="minorHAnsi" w:hAnsiTheme="minorHAnsi" w:cstheme="minorHAnsi"/>
          <w:sz w:val="22"/>
          <w:szCs w:val="22"/>
        </w:rPr>
        <w:t xml:space="preserve"> grešaka vozila i dr. alati</w:t>
      </w:r>
      <w:r w:rsidR="002F4AA8" w:rsidRPr="00110644">
        <w:rPr>
          <w:rFonts w:asciiTheme="minorHAnsi" w:hAnsiTheme="minorHAnsi" w:cstheme="minorHAnsi"/>
          <w:sz w:val="22"/>
          <w:szCs w:val="22"/>
        </w:rPr>
        <w:t>)</w:t>
      </w:r>
      <w:r w:rsidR="002F4AA8" w:rsidRPr="00110644">
        <w:rPr>
          <w:rFonts w:asciiTheme="minorHAnsi" w:hAnsiTheme="minorHAnsi" w:cstheme="minorHAnsi"/>
          <w:sz w:val="22"/>
          <w:szCs w:val="22"/>
        </w:rPr>
        <w:tab/>
      </w:r>
      <w:r w:rsidR="00DF3DA3" w:rsidRPr="00110644">
        <w:rPr>
          <w:rFonts w:asciiTheme="minorHAnsi" w:hAnsiTheme="minorHAnsi" w:cstheme="minorHAnsi"/>
          <w:sz w:val="22"/>
          <w:szCs w:val="22"/>
        </w:rPr>
        <w:t>5.430 eur</w:t>
      </w:r>
    </w:p>
    <w:p w14:paraId="71E698F0" w14:textId="015DB045" w:rsidR="00AD5F36" w:rsidRPr="00110644" w:rsidRDefault="00362708" w:rsidP="0047329D">
      <w:pPr>
        <w:numPr>
          <w:ilvl w:val="0"/>
          <w:numId w:val="29"/>
        </w:numPr>
        <w:tabs>
          <w:tab w:val="right" w:pos="8789"/>
        </w:tabs>
        <w:spacing w:after="0" w:line="24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>razno (sprava za veslanje, grijalica)</w:t>
      </w:r>
      <w:r w:rsidR="00230D38" w:rsidRPr="00110644">
        <w:rPr>
          <w:rFonts w:asciiTheme="minorHAnsi" w:hAnsiTheme="minorHAnsi" w:cstheme="minorHAnsi"/>
          <w:sz w:val="22"/>
          <w:szCs w:val="22"/>
        </w:rPr>
        <w:t xml:space="preserve"> </w:t>
      </w:r>
      <w:r w:rsidR="002E0D9E" w:rsidRPr="00110644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110644">
        <w:rPr>
          <w:rFonts w:asciiTheme="minorHAnsi" w:hAnsiTheme="minorHAnsi" w:cstheme="minorHAnsi"/>
          <w:sz w:val="22"/>
          <w:szCs w:val="22"/>
        </w:rPr>
        <w:tab/>
        <w:t>408 eur</w:t>
      </w:r>
    </w:p>
    <w:p w14:paraId="53A9EE86" w14:textId="29646C8A" w:rsidR="00EF2CEB" w:rsidRPr="00110644" w:rsidRDefault="00C274EF" w:rsidP="002E0D9E">
      <w:pPr>
        <w:pStyle w:val="Normalsnabrajanjem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>Od planiranih sredstava za nefinancijsku</w:t>
      </w:r>
      <w:r w:rsidR="00402B00" w:rsidRPr="00110644">
        <w:rPr>
          <w:rFonts w:asciiTheme="minorHAnsi" w:hAnsiTheme="minorHAnsi" w:cstheme="minorHAnsi"/>
          <w:sz w:val="22"/>
          <w:szCs w:val="22"/>
        </w:rPr>
        <w:t xml:space="preserve"> im</w:t>
      </w:r>
      <w:r w:rsidR="00CB4E3B" w:rsidRPr="00110644">
        <w:rPr>
          <w:rFonts w:asciiTheme="minorHAnsi" w:hAnsiTheme="minorHAnsi" w:cstheme="minorHAnsi"/>
          <w:sz w:val="22"/>
          <w:szCs w:val="22"/>
        </w:rPr>
        <w:t xml:space="preserve">ovinu </w:t>
      </w:r>
      <w:r w:rsidR="00C80B84" w:rsidRPr="00110644">
        <w:rPr>
          <w:rFonts w:asciiTheme="minorHAnsi" w:hAnsiTheme="minorHAnsi" w:cstheme="minorHAnsi"/>
          <w:sz w:val="22"/>
          <w:szCs w:val="22"/>
        </w:rPr>
        <w:t>utrošeno</w:t>
      </w:r>
      <w:r w:rsidR="002E0D9E" w:rsidRPr="00110644">
        <w:rPr>
          <w:rFonts w:asciiTheme="minorHAnsi" w:hAnsiTheme="minorHAnsi" w:cstheme="minorHAnsi"/>
          <w:sz w:val="22"/>
          <w:szCs w:val="22"/>
        </w:rPr>
        <w:t xml:space="preserve"> je </w:t>
      </w:r>
      <w:r w:rsidR="00ED7749" w:rsidRPr="00110644">
        <w:rPr>
          <w:rFonts w:asciiTheme="minorHAnsi" w:hAnsiTheme="minorHAnsi" w:cstheme="minorHAnsi"/>
          <w:sz w:val="22"/>
          <w:szCs w:val="22"/>
        </w:rPr>
        <w:t>68</w:t>
      </w:r>
      <w:r w:rsidR="00CB4E3B" w:rsidRPr="00110644">
        <w:rPr>
          <w:rFonts w:asciiTheme="minorHAnsi" w:hAnsiTheme="minorHAnsi" w:cstheme="minorHAnsi"/>
          <w:sz w:val="22"/>
          <w:szCs w:val="22"/>
        </w:rPr>
        <w:t>% sredstava</w:t>
      </w:r>
      <w:r w:rsidR="00ED7749" w:rsidRPr="00110644">
        <w:rPr>
          <w:rFonts w:asciiTheme="minorHAnsi" w:hAnsiTheme="minorHAnsi" w:cstheme="minorHAnsi"/>
          <w:sz w:val="22"/>
          <w:szCs w:val="22"/>
        </w:rPr>
        <w:t xml:space="preserve"> </w:t>
      </w:r>
      <w:r w:rsidR="00CD7E9F" w:rsidRPr="00110644">
        <w:rPr>
          <w:rFonts w:asciiTheme="minorHAnsi" w:hAnsiTheme="minorHAnsi" w:cstheme="minorHAnsi"/>
          <w:sz w:val="22"/>
          <w:szCs w:val="22"/>
        </w:rPr>
        <w:t>budući da</w:t>
      </w:r>
      <w:r w:rsidR="00ED7749" w:rsidRPr="00110644">
        <w:rPr>
          <w:rFonts w:asciiTheme="minorHAnsi" w:hAnsiTheme="minorHAnsi" w:cstheme="minorHAnsi"/>
          <w:sz w:val="22"/>
          <w:szCs w:val="22"/>
        </w:rPr>
        <w:t xml:space="preserve"> se </w:t>
      </w:r>
      <w:r w:rsidR="00CD7E9F" w:rsidRPr="00110644">
        <w:rPr>
          <w:rFonts w:asciiTheme="minorHAnsi" w:hAnsiTheme="minorHAnsi" w:cstheme="minorHAnsi"/>
          <w:sz w:val="22"/>
          <w:szCs w:val="22"/>
        </w:rPr>
        <w:t xml:space="preserve">zbog manjka prihoda </w:t>
      </w:r>
      <w:r w:rsidR="00ED7749" w:rsidRPr="00110644">
        <w:rPr>
          <w:rFonts w:asciiTheme="minorHAnsi" w:hAnsiTheme="minorHAnsi" w:cstheme="minorHAnsi"/>
          <w:sz w:val="22"/>
          <w:szCs w:val="22"/>
        </w:rPr>
        <w:t>odustalo od nabav</w:t>
      </w:r>
      <w:r w:rsidR="00CD7E9F" w:rsidRPr="00110644">
        <w:rPr>
          <w:rFonts w:asciiTheme="minorHAnsi" w:hAnsiTheme="minorHAnsi" w:cstheme="minorHAnsi"/>
          <w:sz w:val="22"/>
          <w:szCs w:val="22"/>
        </w:rPr>
        <w:t>k</w:t>
      </w:r>
      <w:r w:rsidR="00ED7749" w:rsidRPr="00110644">
        <w:rPr>
          <w:rFonts w:asciiTheme="minorHAnsi" w:hAnsiTheme="minorHAnsi" w:cstheme="minorHAnsi"/>
          <w:sz w:val="22"/>
          <w:szCs w:val="22"/>
        </w:rPr>
        <w:t>e dviju skupih dizalica za automehaničarsku radionicu.</w:t>
      </w:r>
    </w:p>
    <w:p w14:paraId="75AC01ED" w14:textId="26B90CF1" w:rsidR="00C274EF" w:rsidRPr="00110644" w:rsidRDefault="00C274EF" w:rsidP="004D2E17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7" w:name="_Toc473481487"/>
      <w:r w:rsidRPr="00110644">
        <w:rPr>
          <w:rFonts w:asciiTheme="minorHAnsi" w:hAnsiTheme="minorHAnsi" w:cstheme="minorHAnsi"/>
          <w:sz w:val="22"/>
          <w:szCs w:val="22"/>
        </w:rPr>
        <w:t>Rezultati popisa imovine, potraživanja i obveza</w:t>
      </w:r>
      <w:bookmarkEnd w:id="7"/>
    </w:p>
    <w:p w14:paraId="62D2D59C" w14:textId="2453EFFB" w:rsidR="00C274EF" w:rsidRPr="00110644" w:rsidRDefault="00C274EF" w:rsidP="004D2E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>Sukladno propisima</w:t>
      </w:r>
      <w:r w:rsidR="003013A6" w:rsidRPr="00110644">
        <w:rPr>
          <w:rFonts w:asciiTheme="minorHAnsi" w:hAnsiTheme="minorHAnsi" w:cstheme="minorHAnsi"/>
          <w:sz w:val="22"/>
          <w:szCs w:val="22"/>
        </w:rPr>
        <w:t xml:space="preserve"> </w:t>
      </w:r>
      <w:r w:rsidRPr="00110644">
        <w:rPr>
          <w:rFonts w:asciiTheme="minorHAnsi" w:hAnsiTheme="minorHAnsi" w:cstheme="minorHAnsi"/>
          <w:sz w:val="22"/>
          <w:szCs w:val="22"/>
        </w:rPr>
        <w:t>izvršen je popis imovine, potraživanja i obveza (inventura).</w:t>
      </w:r>
    </w:p>
    <w:p w14:paraId="4D59ACE5" w14:textId="77777777" w:rsidR="00C274EF" w:rsidRPr="00110644" w:rsidRDefault="00C274EF" w:rsidP="004D2E17">
      <w:pPr>
        <w:spacing w:line="276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110644">
        <w:rPr>
          <w:rFonts w:asciiTheme="minorHAnsi" w:hAnsiTheme="minorHAnsi" w:cstheme="minorHAnsi"/>
          <w:sz w:val="22"/>
          <w:szCs w:val="22"/>
        </w:rPr>
        <w:t>Između ostalog utvrđeno je:</w:t>
      </w:r>
    </w:p>
    <w:p w14:paraId="288D4C34" w14:textId="5955BDB7" w:rsidR="00493576" w:rsidRPr="00110644" w:rsidRDefault="00C274EF" w:rsidP="004D2E17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 xml:space="preserve">da se na </w:t>
      </w:r>
      <w:r w:rsidR="003013A6" w:rsidRPr="00110644">
        <w:rPr>
          <w:rFonts w:asciiTheme="minorHAnsi" w:hAnsiTheme="minorHAnsi" w:cstheme="minorHAnsi"/>
          <w:sz w:val="22"/>
          <w:szCs w:val="22"/>
        </w:rPr>
        <w:t xml:space="preserve">poslovnom </w:t>
      </w:r>
      <w:r w:rsidRPr="00110644">
        <w:rPr>
          <w:rFonts w:asciiTheme="minorHAnsi" w:hAnsiTheme="minorHAnsi" w:cstheme="minorHAnsi"/>
          <w:sz w:val="22"/>
          <w:szCs w:val="22"/>
        </w:rPr>
        <w:t xml:space="preserve">računu </w:t>
      </w:r>
      <w:r w:rsidR="0019571F" w:rsidRPr="00110644">
        <w:rPr>
          <w:rFonts w:asciiTheme="minorHAnsi" w:hAnsiTheme="minorHAnsi" w:cstheme="minorHAnsi"/>
          <w:sz w:val="22"/>
          <w:szCs w:val="22"/>
        </w:rPr>
        <w:t>i u blagajni na dan 31.1</w:t>
      </w:r>
      <w:r w:rsidR="00844662" w:rsidRPr="00110644">
        <w:rPr>
          <w:rFonts w:asciiTheme="minorHAnsi" w:hAnsiTheme="minorHAnsi" w:cstheme="minorHAnsi"/>
          <w:sz w:val="22"/>
          <w:szCs w:val="22"/>
        </w:rPr>
        <w:t>2.202</w:t>
      </w:r>
      <w:r w:rsidR="003013A6" w:rsidRPr="00110644">
        <w:rPr>
          <w:rFonts w:asciiTheme="minorHAnsi" w:hAnsiTheme="minorHAnsi" w:cstheme="minorHAnsi"/>
          <w:sz w:val="22"/>
          <w:szCs w:val="22"/>
        </w:rPr>
        <w:t>3</w:t>
      </w:r>
      <w:r w:rsidRPr="00110644">
        <w:rPr>
          <w:rFonts w:asciiTheme="minorHAnsi" w:hAnsiTheme="minorHAnsi" w:cstheme="minorHAnsi"/>
          <w:sz w:val="22"/>
          <w:szCs w:val="22"/>
        </w:rPr>
        <w:t>. n</w:t>
      </w:r>
      <w:r w:rsidR="00844662" w:rsidRPr="00110644">
        <w:rPr>
          <w:rFonts w:asciiTheme="minorHAnsi" w:hAnsiTheme="minorHAnsi" w:cstheme="minorHAnsi"/>
          <w:sz w:val="22"/>
          <w:szCs w:val="22"/>
        </w:rPr>
        <w:t xml:space="preserve">alazilo </w:t>
      </w:r>
      <w:r w:rsidR="003013A6" w:rsidRPr="00110644">
        <w:rPr>
          <w:rFonts w:asciiTheme="minorHAnsi" w:hAnsiTheme="minorHAnsi" w:cstheme="minorHAnsi"/>
          <w:sz w:val="22"/>
          <w:szCs w:val="22"/>
        </w:rPr>
        <w:t>279.700,59 eur</w:t>
      </w:r>
    </w:p>
    <w:p w14:paraId="4FB12741" w14:textId="32433AB6" w:rsidR="00493576" w:rsidRPr="00110644" w:rsidRDefault="00493576" w:rsidP="004D2E17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>da su od strane Fine izdvojena sredstv</w:t>
      </w:r>
      <w:r w:rsidR="0019571F" w:rsidRPr="00110644">
        <w:rPr>
          <w:rFonts w:asciiTheme="minorHAnsi" w:hAnsiTheme="minorHAnsi" w:cstheme="minorHAnsi"/>
          <w:sz w:val="22"/>
          <w:szCs w:val="22"/>
        </w:rPr>
        <w:t>a</w:t>
      </w:r>
      <w:r w:rsidR="00844662" w:rsidRPr="00110644">
        <w:rPr>
          <w:rFonts w:asciiTheme="minorHAnsi" w:hAnsiTheme="minorHAnsi" w:cstheme="minorHAnsi"/>
          <w:sz w:val="22"/>
          <w:szCs w:val="22"/>
        </w:rPr>
        <w:t xml:space="preserve"> u iznosu od </w:t>
      </w:r>
      <w:r w:rsidR="003013A6" w:rsidRPr="00110644">
        <w:rPr>
          <w:rFonts w:asciiTheme="minorHAnsi" w:hAnsiTheme="minorHAnsi" w:cstheme="minorHAnsi"/>
          <w:sz w:val="22"/>
          <w:szCs w:val="22"/>
        </w:rPr>
        <w:t>16.677,09 eur</w:t>
      </w:r>
    </w:p>
    <w:p w14:paraId="5A3BC393" w14:textId="4B67E95E" w:rsidR="00C274EF" w:rsidRPr="00110644" w:rsidRDefault="00C274EF" w:rsidP="004D2E17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>da su ukupna potraživanja za prihod</w:t>
      </w:r>
      <w:r w:rsidR="005212F8" w:rsidRPr="00110644">
        <w:rPr>
          <w:rFonts w:asciiTheme="minorHAnsi" w:hAnsiTheme="minorHAnsi" w:cstheme="minorHAnsi"/>
          <w:sz w:val="22"/>
          <w:szCs w:val="22"/>
        </w:rPr>
        <w:t>e poslovanja na dan 3</w:t>
      </w:r>
      <w:r w:rsidR="00844662" w:rsidRPr="00110644">
        <w:rPr>
          <w:rFonts w:asciiTheme="minorHAnsi" w:hAnsiTheme="minorHAnsi" w:cstheme="minorHAnsi"/>
          <w:sz w:val="22"/>
          <w:szCs w:val="22"/>
        </w:rPr>
        <w:t>1.12.202</w:t>
      </w:r>
      <w:r w:rsidR="00CA31BC" w:rsidRPr="00110644">
        <w:rPr>
          <w:rFonts w:asciiTheme="minorHAnsi" w:hAnsiTheme="minorHAnsi" w:cstheme="minorHAnsi"/>
          <w:sz w:val="22"/>
          <w:szCs w:val="22"/>
        </w:rPr>
        <w:t>3</w:t>
      </w:r>
      <w:r w:rsidR="00844662" w:rsidRPr="00110644">
        <w:rPr>
          <w:rFonts w:asciiTheme="minorHAnsi" w:hAnsiTheme="minorHAnsi" w:cstheme="minorHAnsi"/>
          <w:sz w:val="22"/>
          <w:szCs w:val="22"/>
        </w:rPr>
        <w:t xml:space="preserve">. iznosila </w:t>
      </w:r>
      <w:r w:rsidR="00CA31BC" w:rsidRPr="00110644">
        <w:rPr>
          <w:rFonts w:asciiTheme="minorHAnsi" w:hAnsiTheme="minorHAnsi" w:cstheme="minorHAnsi"/>
          <w:sz w:val="22"/>
          <w:szCs w:val="22"/>
        </w:rPr>
        <w:t>1.388.620,78 eur</w:t>
      </w:r>
    </w:p>
    <w:p w14:paraId="41CACBDF" w14:textId="4A355F94" w:rsidR="00EF2CEB" w:rsidRPr="00110644" w:rsidRDefault="00D145E2" w:rsidP="004D2E17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>da su ukupne obveze za rashode poslovanja</w:t>
      </w:r>
      <w:r w:rsidR="00844662" w:rsidRPr="00110644">
        <w:rPr>
          <w:rFonts w:asciiTheme="minorHAnsi" w:hAnsiTheme="minorHAnsi" w:cstheme="minorHAnsi"/>
          <w:sz w:val="22"/>
          <w:szCs w:val="22"/>
        </w:rPr>
        <w:t xml:space="preserve"> dan 31.12.202</w:t>
      </w:r>
      <w:r w:rsidR="00CA31BC" w:rsidRPr="00110644">
        <w:rPr>
          <w:rFonts w:asciiTheme="minorHAnsi" w:hAnsiTheme="minorHAnsi" w:cstheme="minorHAnsi"/>
          <w:sz w:val="22"/>
          <w:szCs w:val="22"/>
        </w:rPr>
        <w:t>3</w:t>
      </w:r>
      <w:r w:rsidR="00D27B62" w:rsidRPr="00110644">
        <w:rPr>
          <w:rFonts w:asciiTheme="minorHAnsi" w:hAnsiTheme="minorHAnsi" w:cstheme="minorHAnsi"/>
          <w:sz w:val="22"/>
          <w:szCs w:val="22"/>
        </w:rPr>
        <w:t>. izn</w:t>
      </w:r>
      <w:r w:rsidR="00493576" w:rsidRPr="00110644">
        <w:rPr>
          <w:rFonts w:asciiTheme="minorHAnsi" w:hAnsiTheme="minorHAnsi" w:cstheme="minorHAnsi"/>
          <w:sz w:val="22"/>
          <w:szCs w:val="22"/>
        </w:rPr>
        <w:t>osil</w:t>
      </w:r>
      <w:r w:rsidR="0047651B" w:rsidRPr="00110644">
        <w:rPr>
          <w:rFonts w:asciiTheme="minorHAnsi" w:hAnsiTheme="minorHAnsi" w:cstheme="minorHAnsi"/>
          <w:sz w:val="22"/>
          <w:szCs w:val="22"/>
        </w:rPr>
        <w:t xml:space="preserve">e </w:t>
      </w:r>
      <w:r w:rsidR="00526FB7" w:rsidRPr="00110644">
        <w:rPr>
          <w:rFonts w:asciiTheme="minorHAnsi" w:hAnsiTheme="minorHAnsi" w:cstheme="minorHAnsi"/>
          <w:sz w:val="22"/>
          <w:szCs w:val="22"/>
        </w:rPr>
        <w:t>4.892.555,48</w:t>
      </w:r>
      <w:r w:rsidR="0071021E" w:rsidRPr="00110644">
        <w:rPr>
          <w:rFonts w:asciiTheme="minorHAnsi" w:hAnsiTheme="minorHAnsi" w:cstheme="minorHAnsi"/>
          <w:sz w:val="22"/>
          <w:szCs w:val="22"/>
        </w:rPr>
        <w:t xml:space="preserve"> (od čega dugoročni kredit 3.175.293,65 eur)</w:t>
      </w:r>
    </w:p>
    <w:p w14:paraId="1BFC1250" w14:textId="3F83C77D" w:rsidR="0071021E" w:rsidRPr="00110644" w:rsidRDefault="00C274EF" w:rsidP="0049357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t>Govoreći o rashodima poslovanja u cjelini, važno je istaknuti da su sve obveze prema radnicim</w:t>
      </w:r>
      <w:r w:rsidR="00844662" w:rsidRPr="00110644">
        <w:rPr>
          <w:rFonts w:asciiTheme="minorHAnsi" w:hAnsiTheme="minorHAnsi" w:cstheme="minorHAnsi"/>
          <w:sz w:val="22"/>
          <w:szCs w:val="22"/>
        </w:rPr>
        <w:t>a i dobavljačima, nastale u 202</w:t>
      </w:r>
      <w:r w:rsidR="0071021E" w:rsidRPr="00110644">
        <w:rPr>
          <w:rFonts w:asciiTheme="minorHAnsi" w:hAnsiTheme="minorHAnsi" w:cstheme="minorHAnsi"/>
          <w:sz w:val="22"/>
          <w:szCs w:val="22"/>
        </w:rPr>
        <w:t>3</w:t>
      </w:r>
      <w:r w:rsidR="008606AD" w:rsidRPr="00110644">
        <w:rPr>
          <w:rFonts w:asciiTheme="minorHAnsi" w:hAnsiTheme="minorHAnsi" w:cstheme="minorHAnsi"/>
          <w:sz w:val="22"/>
          <w:szCs w:val="22"/>
        </w:rPr>
        <w:t>., podmirene u propisanom i</w:t>
      </w:r>
      <w:r w:rsidRPr="00110644">
        <w:rPr>
          <w:rFonts w:asciiTheme="minorHAnsi" w:hAnsiTheme="minorHAnsi" w:cstheme="minorHAnsi"/>
          <w:sz w:val="22"/>
          <w:szCs w:val="22"/>
        </w:rPr>
        <w:t xml:space="preserve"> ugovorenom roku. Svi rashodi razdoblja obračunati su na propisani način.</w:t>
      </w:r>
      <w:bookmarkStart w:id="8" w:name="_Toc472786077"/>
    </w:p>
    <w:p w14:paraId="30575AE9" w14:textId="1FE573A5" w:rsidR="00C274EF" w:rsidRPr="00110644" w:rsidRDefault="00C274EF" w:rsidP="0096374E">
      <w:pPr>
        <w:pStyle w:val="NoSpacing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10644">
        <w:rPr>
          <w:rFonts w:asciiTheme="minorHAnsi" w:hAnsiTheme="minorHAnsi" w:cstheme="minorHAnsi"/>
          <w:i/>
          <w:sz w:val="20"/>
          <w:szCs w:val="20"/>
        </w:rPr>
        <w:t xml:space="preserve">Tablica </w:t>
      </w:r>
      <w:r w:rsidR="00542F7E" w:rsidRPr="00110644">
        <w:rPr>
          <w:rFonts w:asciiTheme="minorHAnsi" w:hAnsiTheme="minorHAnsi" w:cstheme="minorHAnsi"/>
          <w:i/>
          <w:sz w:val="20"/>
          <w:szCs w:val="20"/>
        </w:rPr>
        <w:fldChar w:fldCharType="begin"/>
      </w:r>
      <w:r w:rsidRPr="00110644">
        <w:rPr>
          <w:rFonts w:asciiTheme="minorHAnsi" w:hAnsiTheme="minorHAnsi" w:cstheme="minorHAnsi"/>
          <w:i/>
          <w:sz w:val="20"/>
          <w:szCs w:val="20"/>
        </w:rPr>
        <w:instrText xml:space="preserve"> SEQ Tablica \* ARABIC </w:instrText>
      </w:r>
      <w:r w:rsidR="00542F7E" w:rsidRPr="00110644">
        <w:rPr>
          <w:rFonts w:asciiTheme="minorHAnsi" w:hAnsiTheme="minorHAnsi" w:cstheme="minorHAnsi"/>
          <w:i/>
          <w:sz w:val="20"/>
          <w:szCs w:val="20"/>
        </w:rPr>
        <w:fldChar w:fldCharType="separate"/>
      </w:r>
      <w:r w:rsidR="00261536">
        <w:rPr>
          <w:rFonts w:asciiTheme="minorHAnsi" w:hAnsiTheme="minorHAnsi" w:cstheme="minorHAnsi"/>
          <w:i/>
          <w:noProof/>
          <w:sz w:val="20"/>
          <w:szCs w:val="20"/>
        </w:rPr>
        <w:t>5</w:t>
      </w:r>
      <w:r w:rsidR="00542F7E" w:rsidRPr="00110644">
        <w:rPr>
          <w:rFonts w:asciiTheme="minorHAnsi" w:hAnsiTheme="minorHAnsi" w:cstheme="minorHAnsi"/>
          <w:i/>
          <w:sz w:val="20"/>
          <w:szCs w:val="20"/>
        </w:rPr>
        <w:fldChar w:fldCharType="end"/>
      </w:r>
      <w:r w:rsidR="00661017">
        <w:rPr>
          <w:rFonts w:asciiTheme="minorHAnsi" w:hAnsiTheme="minorHAnsi" w:cstheme="minorHAnsi"/>
          <w:i/>
          <w:sz w:val="20"/>
          <w:szCs w:val="20"/>
        </w:rPr>
        <w:t>a</w:t>
      </w:r>
      <w:r w:rsidRPr="00110644">
        <w:rPr>
          <w:rFonts w:asciiTheme="minorHAnsi" w:hAnsiTheme="minorHAnsi" w:cstheme="minorHAnsi"/>
          <w:i/>
          <w:sz w:val="20"/>
          <w:szCs w:val="20"/>
        </w:rPr>
        <w:t>: Podac</w:t>
      </w:r>
      <w:r w:rsidR="00D145E2" w:rsidRPr="00110644">
        <w:rPr>
          <w:rFonts w:asciiTheme="minorHAnsi" w:hAnsiTheme="minorHAnsi" w:cstheme="minorHAnsi"/>
          <w:i/>
          <w:sz w:val="20"/>
          <w:szCs w:val="20"/>
        </w:rPr>
        <w:t>i o obvezama na dan 31.12.</w:t>
      </w:r>
      <w:r w:rsidR="00844662" w:rsidRPr="00110644">
        <w:rPr>
          <w:rFonts w:asciiTheme="minorHAnsi" w:hAnsiTheme="minorHAnsi" w:cstheme="minorHAnsi"/>
          <w:i/>
          <w:sz w:val="20"/>
          <w:szCs w:val="20"/>
        </w:rPr>
        <w:t>202</w:t>
      </w:r>
      <w:r w:rsidR="00C32B56" w:rsidRPr="00110644">
        <w:rPr>
          <w:rFonts w:asciiTheme="minorHAnsi" w:hAnsiTheme="minorHAnsi" w:cstheme="minorHAnsi"/>
          <w:i/>
          <w:sz w:val="20"/>
          <w:szCs w:val="20"/>
        </w:rPr>
        <w:t>3</w:t>
      </w:r>
      <w:r w:rsidRPr="00110644">
        <w:rPr>
          <w:rFonts w:asciiTheme="minorHAnsi" w:hAnsiTheme="minorHAnsi" w:cstheme="minorHAnsi"/>
          <w:i/>
          <w:sz w:val="20"/>
          <w:szCs w:val="20"/>
        </w:rPr>
        <w:t>.</w:t>
      </w:r>
      <w:bookmarkEnd w:id="8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10"/>
        <w:gridCol w:w="4737"/>
        <w:gridCol w:w="2160"/>
        <w:gridCol w:w="1869"/>
      </w:tblGrid>
      <w:tr w:rsidR="00C274EF" w:rsidRPr="00110644" w14:paraId="2D776659" w14:textId="77777777" w:rsidTr="0047329D">
        <w:trPr>
          <w:trHeight w:val="285"/>
        </w:trPr>
        <w:tc>
          <w:tcPr>
            <w:tcW w:w="516" w:type="pct"/>
            <w:shd w:val="clear" w:color="auto" w:fill="C6D9F1"/>
            <w:vAlign w:val="center"/>
          </w:tcPr>
          <w:p w14:paraId="224759F0" w14:textId="77777777" w:rsidR="00C274EF" w:rsidRPr="00110644" w:rsidRDefault="00C274EF" w:rsidP="005D203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10644">
              <w:rPr>
                <w:rFonts w:asciiTheme="minorHAnsi" w:hAnsiTheme="minorHAnsi" w:cstheme="minorHAnsi"/>
                <w:sz w:val="20"/>
                <w:szCs w:val="20"/>
              </w:rPr>
              <w:t>Redni broj</w:t>
            </w:r>
          </w:p>
        </w:tc>
        <w:tc>
          <w:tcPr>
            <w:tcW w:w="2423" w:type="pct"/>
            <w:shd w:val="clear" w:color="auto" w:fill="C6D9F1"/>
            <w:vAlign w:val="center"/>
          </w:tcPr>
          <w:p w14:paraId="265215FE" w14:textId="77777777" w:rsidR="00C274EF" w:rsidRPr="00110644" w:rsidRDefault="00C274EF" w:rsidP="005D203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10644">
              <w:rPr>
                <w:rFonts w:asciiTheme="minorHAnsi" w:hAnsiTheme="minorHAnsi" w:cstheme="minorHAnsi"/>
                <w:sz w:val="20"/>
                <w:szCs w:val="20"/>
              </w:rPr>
              <w:t>Naziv obveze po vrstama rashoda</w:t>
            </w:r>
          </w:p>
        </w:tc>
        <w:tc>
          <w:tcPr>
            <w:tcW w:w="1105" w:type="pct"/>
            <w:shd w:val="clear" w:color="auto" w:fill="C6D9F1"/>
            <w:vAlign w:val="center"/>
          </w:tcPr>
          <w:p w14:paraId="362287E4" w14:textId="457F131D" w:rsidR="00C274EF" w:rsidRPr="00110644" w:rsidRDefault="00C274EF" w:rsidP="005D203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10644">
              <w:rPr>
                <w:rFonts w:asciiTheme="minorHAnsi" w:hAnsiTheme="minorHAnsi" w:cstheme="minorHAnsi"/>
                <w:sz w:val="20"/>
                <w:szCs w:val="20"/>
              </w:rPr>
              <w:t>Ukupne obveze</w:t>
            </w:r>
          </w:p>
        </w:tc>
        <w:tc>
          <w:tcPr>
            <w:tcW w:w="957" w:type="pct"/>
            <w:shd w:val="clear" w:color="auto" w:fill="C6D9F1"/>
            <w:vAlign w:val="center"/>
          </w:tcPr>
          <w:p w14:paraId="65C40EC4" w14:textId="77777777" w:rsidR="00C274EF" w:rsidRPr="00110644" w:rsidRDefault="00C274EF" w:rsidP="005D203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10644">
              <w:rPr>
                <w:rFonts w:asciiTheme="minorHAnsi" w:hAnsiTheme="minorHAnsi" w:cstheme="minorHAnsi"/>
                <w:sz w:val="20"/>
                <w:szCs w:val="20"/>
              </w:rPr>
              <w:t>Dospjele obveze</w:t>
            </w:r>
          </w:p>
        </w:tc>
      </w:tr>
      <w:tr w:rsidR="00C274EF" w:rsidRPr="00110644" w14:paraId="0B917E18" w14:textId="77777777" w:rsidTr="0047329D">
        <w:trPr>
          <w:trHeight w:val="360"/>
        </w:trPr>
        <w:tc>
          <w:tcPr>
            <w:tcW w:w="516" w:type="pct"/>
            <w:vAlign w:val="center"/>
          </w:tcPr>
          <w:p w14:paraId="589E2272" w14:textId="77777777" w:rsidR="00C274EF" w:rsidRPr="00110644" w:rsidRDefault="00C274EF" w:rsidP="00F54B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1064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423" w:type="pct"/>
            <w:vAlign w:val="center"/>
          </w:tcPr>
          <w:p w14:paraId="459C5F82" w14:textId="06E0777B" w:rsidR="00C274EF" w:rsidRPr="00110644" w:rsidRDefault="00C274EF" w:rsidP="00F54B19">
            <w:pPr>
              <w:pStyle w:val="NoSpacing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644">
              <w:rPr>
                <w:rFonts w:asciiTheme="minorHAnsi" w:hAnsiTheme="minorHAnsi" w:cstheme="minorHAnsi"/>
                <w:sz w:val="20"/>
                <w:szCs w:val="20"/>
              </w:rPr>
              <w:t>Obveze prema radnicima</w:t>
            </w:r>
            <w:r w:rsidR="00194899" w:rsidRPr="00110644">
              <w:rPr>
                <w:rFonts w:asciiTheme="minorHAnsi" w:hAnsiTheme="minorHAnsi" w:cstheme="minorHAnsi"/>
                <w:sz w:val="20"/>
                <w:szCs w:val="20"/>
              </w:rPr>
              <w:t xml:space="preserve"> (231)</w:t>
            </w:r>
          </w:p>
        </w:tc>
        <w:tc>
          <w:tcPr>
            <w:tcW w:w="1105" w:type="pct"/>
            <w:vAlign w:val="center"/>
          </w:tcPr>
          <w:p w14:paraId="1B08CDE1" w14:textId="6FD1CF6C" w:rsidR="00C274EF" w:rsidRPr="00110644" w:rsidRDefault="00194899" w:rsidP="005D203D">
            <w:pPr>
              <w:pStyle w:val="NoSpacing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10644">
              <w:rPr>
                <w:rFonts w:asciiTheme="minorHAnsi" w:hAnsiTheme="minorHAnsi" w:cstheme="minorHAnsi"/>
                <w:sz w:val="20"/>
                <w:szCs w:val="20"/>
              </w:rPr>
              <w:t>1.208.027,01</w:t>
            </w:r>
          </w:p>
        </w:tc>
        <w:tc>
          <w:tcPr>
            <w:tcW w:w="957" w:type="pct"/>
            <w:vAlign w:val="center"/>
          </w:tcPr>
          <w:p w14:paraId="3BCEE770" w14:textId="77777777" w:rsidR="00C274EF" w:rsidRPr="00110644" w:rsidRDefault="00C274EF" w:rsidP="005D203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1064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C274EF" w:rsidRPr="00110644" w14:paraId="2D834842" w14:textId="77777777" w:rsidTr="0047329D">
        <w:trPr>
          <w:trHeight w:val="331"/>
        </w:trPr>
        <w:tc>
          <w:tcPr>
            <w:tcW w:w="516" w:type="pct"/>
            <w:vAlign w:val="center"/>
          </w:tcPr>
          <w:p w14:paraId="679F205B" w14:textId="77777777" w:rsidR="00C274EF" w:rsidRPr="00110644" w:rsidRDefault="00C274EF" w:rsidP="00F54B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1064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423" w:type="pct"/>
            <w:vAlign w:val="center"/>
          </w:tcPr>
          <w:p w14:paraId="5EA92164" w14:textId="50A11DFE" w:rsidR="00C274EF" w:rsidRPr="00110644" w:rsidRDefault="00C274EF" w:rsidP="00F54B19">
            <w:pPr>
              <w:pStyle w:val="NoSpacing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644">
              <w:rPr>
                <w:rFonts w:asciiTheme="minorHAnsi" w:hAnsiTheme="minorHAnsi" w:cstheme="minorHAnsi"/>
                <w:sz w:val="20"/>
                <w:szCs w:val="20"/>
              </w:rPr>
              <w:t>Obveze za materijalne rashode</w:t>
            </w:r>
            <w:r w:rsidR="00194899" w:rsidRPr="00110644">
              <w:rPr>
                <w:rFonts w:asciiTheme="minorHAnsi" w:hAnsiTheme="minorHAnsi" w:cstheme="minorHAnsi"/>
                <w:sz w:val="20"/>
                <w:szCs w:val="20"/>
              </w:rPr>
              <w:t xml:space="preserve"> (232)</w:t>
            </w:r>
          </w:p>
        </w:tc>
        <w:tc>
          <w:tcPr>
            <w:tcW w:w="1105" w:type="pct"/>
            <w:vAlign w:val="center"/>
          </w:tcPr>
          <w:p w14:paraId="1972ED78" w14:textId="0740A3F6" w:rsidR="00C274EF" w:rsidRPr="00110644" w:rsidRDefault="00194899" w:rsidP="005D203D">
            <w:pPr>
              <w:pStyle w:val="NoSpacing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10644">
              <w:rPr>
                <w:rFonts w:asciiTheme="minorHAnsi" w:hAnsiTheme="minorHAnsi" w:cstheme="minorHAnsi"/>
                <w:sz w:val="20"/>
                <w:szCs w:val="20"/>
              </w:rPr>
              <w:t>462.176,31</w:t>
            </w:r>
          </w:p>
        </w:tc>
        <w:tc>
          <w:tcPr>
            <w:tcW w:w="957" w:type="pct"/>
            <w:vAlign w:val="center"/>
          </w:tcPr>
          <w:p w14:paraId="690CDCE6" w14:textId="4CC31B1F" w:rsidR="00C274EF" w:rsidRPr="00110644" w:rsidRDefault="004D7BD6" w:rsidP="005D203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10644">
              <w:rPr>
                <w:rFonts w:asciiTheme="minorHAnsi" w:hAnsiTheme="minorHAnsi" w:cstheme="minorHAnsi"/>
                <w:sz w:val="20"/>
                <w:szCs w:val="20"/>
              </w:rPr>
              <w:t>57.432,68</w:t>
            </w:r>
          </w:p>
        </w:tc>
      </w:tr>
      <w:tr w:rsidR="00C274EF" w:rsidRPr="00110644" w14:paraId="4283DCF1" w14:textId="77777777" w:rsidTr="0047329D">
        <w:trPr>
          <w:trHeight w:val="393"/>
        </w:trPr>
        <w:tc>
          <w:tcPr>
            <w:tcW w:w="516" w:type="pct"/>
            <w:vAlign w:val="center"/>
          </w:tcPr>
          <w:p w14:paraId="2077EA9D" w14:textId="77777777" w:rsidR="00C274EF" w:rsidRPr="00110644" w:rsidRDefault="00C274EF" w:rsidP="00F54B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1064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423" w:type="pct"/>
            <w:vAlign w:val="center"/>
          </w:tcPr>
          <w:p w14:paraId="33704C52" w14:textId="4163AF90" w:rsidR="00C274EF" w:rsidRPr="00110644" w:rsidRDefault="00C274EF" w:rsidP="00F54B19">
            <w:pPr>
              <w:pStyle w:val="NoSpacing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644">
              <w:rPr>
                <w:rFonts w:asciiTheme="minorHAnsi" w:hAnsiTheme="minorHAnsi" w:cstheme="minorHAnsi"/>
                <w:sz w:val="20"/>
                <w:szCs w:val="20"/>
              </w:rPr>
              <w:t>Obveze za financijske rashode</w:t>
            </w:r>
            <w:r w:rsidR="00194899" w:rsidRPr="00110644">
              <w:rPr>
                <w:rFonts w:asciiTheme="minorHAnsi" w:hAnsiTheme="minorHAnsi" w:cstheme="minorHAnsi"/>
                <w:sz w:val="20"/>
                <w:szCs w:val="20"/>
              </w:rPr>
              <w:t xml:space="preserve"> (234)</w:t>
            </w:r>
          </w:p>
        </w:tc>
        <w:tc>
          <w:tcPr>
            <w:tcW w:w="1105" w:type="pct"/>
            <w:vAlign w:val="center"/>
          </w:tcPr>
          <w:p w14:paraId="762CC3F9" w14:textId="2199A717" w:rsidR="00C274EF" w:rsidRPr="00110644" w:rsidRDefault="00194899" w:rsidP="005D203D">
            <w:pPr>
              <w:pStyle w:val="NoSpacing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10644">
              <w:rPr>
                <w:rFonts w:asciiTheme="minorHAnsi" w:hAnsiTheme="minorHAnsi" w:cstheme="minorHAnsi"/>
                <w:sz w:val="20"/>
                <w:szCs w:val="20"/>
              </w:rPr>
              <w:t>375,58</w:t>
            </w:r>
          </w:p>
        </w:tc>
        <w:tc>
          <w:tcPr>
            <w:tcW w:w="957" w:type="pct"/>
            <w:vAlign w:val="center"/>
          </w:tcPr>
          <w:p w14:paraId="2E670DA9" w14:textId="69950498" w:rsidR="00C274EF" w:rsidRPr="00110644" w:rsidRDefault="005A242A" w:rsidP="005D203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1064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C274EF" w:rsidRPr="00110644" w14:paraId="75CBC226" w14:textId="77777777" w:rsidTr="0047329D">
        <w:trPr>
          <w:trHeight w:val="398"/>
        </w:trPr>
        <w:tc>
          <w:tcPr>
            <w:tcW w:w="516" w:type="pct"/>
            <w:vAlign w:val="center"/>
          </w:tcPr>
          <w:p w14:paraId="57BFED81" w14:textId="77777777" w:rsidR="00C274EF" w:rsidRPr="00110644" w:rsidRDefault="00C274EF" w:rsidP="00F54B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10644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423" w:type="pct"/>
            <w:vAlign w:val="center"/>
          </w:tcPr>
          <w:p w14:paraId="7907538A" w14:textId="42665D53" w:rsidR="00C274EF" w:rsidRPr="00110644" w:rsidRDefault="0019571F" w:rsidP="00F54B19">
            <w:pPr>
              <w:pStyle w:val="NoSpacing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644">
              <w:rPr>
                <w:rFonts w:asciiTheme="minorHAnsi" w:hAnsiTheme="minorHAnsi" w:cstheme="minorHAnsi"/>
                <w:sz w:val="20"/>
                <w:szCs w:val="20"/>
              </w:rPr>
              <w:t>Obveze za PDV, depozite, jamčevine</w:t>
            </w:r>
            <w:r w:rsidR="00194899" w:rsidRPr="00110644">
              <w:rPr>
                <w:rFonts w:asciiTheme="minorHAnsi" w:hAnsiTheme="minorHAnsi" w:cstheme="minorHAnsi"/>
                <w:sz w:val="20"/>
                <w:szCs w:val="20"/>
              </w:rPr>
              <w:t xml:space="preserve"> (239)</w:t>
            </w:r>
          </w:p>
        </w:tc>
        <w:tc>
          <w:tcPr>
            <w:tcW w:w="1105" w:type="pct"/>
            <w:vAlign w:val="center"/>
          </w:tcPr>
          <w:p w14:paraId="291CC1A1" w14:textId="2B182808" w:rsidR="00C274EF" w:rsidRPr="00110644" w:rsidRDefault="00194899" w:rsidP="005D203D">
            <w:pPr>
              <w:pStyle w:val="NoSpacing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10644">
              <w:rPr>
                <w:rFonts w:asciiTheme="minorHAnsi" w:hAnsiTheme="minorHAnsi" w:cstheme="minorHAnsi"/>
                <w:sz w:val="20"/>
                <w:szCs w:val="20"/>
              </w:rPr>
              <w:t>18.580,39</w:t>
            </w:r>
          </w:p>
        </w:tc>
        <w:tc>
          <w:tcPr>
            <w:tcW w:w="957" w:type="pct"/>
            <w:vAlign w:val="center"/>
          </w:tcPr>
          <w:p w14:paraId="4F3D17ED" w14:textId="14DE29AA" w:rsidR="00C274EF" w:rsidRPr="00110644" w:rsidRDefault="005A242A" w:rsidP="005D203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1064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5212F8" w:rsidRPr="00110644" w14:paraId="7654E0E2" w14:textId="77777777" w:rsidTr="0047329D">
        <w:trPr>
          <w:trHeight w:val="397"/>
        </w:trPr>
        <w:tc>
          <w:tcPr>
            <w:tcW w:w="516" w:type="pct"/>
            <w:vAlign w:val="center"/>
          </w:tcPr>
          <w:p w14:paraId="24E430F4" w14:textId="77777777" w:rsidR="005212F8" w:rsidRPr="00110644" w:rsidRDefault="005212F8" w:rsidP="00F54B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10644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423" w:type="pct"/>
            <w:vAlign w:val="center"/>
          </w:tcPr>
          <w:p w14:paraId="6136D1F0" w14:textId="6904590C" w:rsidR="005212F8" w:rsidRPr="00110644" w:rsidRDefault="005212F8" w:rsidP="00F54B19">
            <w:pPr>
              <w:pStyle w:val="NoSpacing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644">
              <w:rPr>
                <w:rFonts w:asciiTheme="minorHAnsi" w:hAnsiTheme="minorHAnsi" w:cstheme="minorHAnsi"/>
                <w:sz w:val="20"/>
                <w:szCs w:val="20"/>
              </w:rPr>
              <w:t>Obveze za nabavu nefinancijske imovine</w:t>
            </w:r>
            <w:r w:rsidR="00C824B8" w:rsidRPr="00110644">
              <w:rPr>
                <w:rFonts w:asciiTheme="minorHAnsi" w:hAnsiTheme="minorHAnsi" w:cstheme="minorHAnsi"/>
                <w:sz w:val="20"/>
                <w:szCs w:val="20"/>
              </w:rPr>
              <w:t xml:space="preserve"> (241+242)</w:t>
            </w:r>
          </w:p>
        </w:tc>
        <w:tc>
          <w:tcPr>
            <w:tcW w:w="1105" w:type="pct"/>
            <w:vAlign w:val="center"/>
          </w:tcPr>
          <w:p w14:paraId="0F20C11A" w14:textId="32D68E25" w:rsidR="005212F8" w:rsidRPr="00110644" w:rsidRDefault="00FB6EBD" w:rsidP="005D203D">
            <w:pPr>
              <w:pStyle w:val="NoSpacing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10644">
              <w:rPr>
                <w:rFonts w:asciiTheme="minorHAnsi" w:hAnsiTheme="minorHAnsi" w:cstheme="minorHAnsi"/>
                <w:sz w:val="20"/>
                <w:szCs w:val="20"/>
              </w:rPr>
              <w:t>28.102,54</w:t>
            </w:r>
          </w:p>
        </w:tc>
        <w:tc>
          <w:tcPr>
            <w:tcW w:w="957" w:type="pct"/>
            <w:vAlign w:val="center"/>
          </w:tcPr>
          <w:p w14:paraId="769CBEE9" w14:textId="048BF56E" w:rsidR="005212F8" w:rsidRPr="00110644" w:rsidRDefault="004D7BD6" w:rsidP="005D203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10644">
              <w:rPr>
                <w:rFonts w:asciiTheme="minorHAnsi" w:hAnsiTheme="minorHAnsi" w:cstheme="minorHAnsi"/>
                <w:sz w:val="20"/>
                <w:szCs w:val="20"/>
              </w:rPr>
              <w:t>2.779,04</w:t>
            </w:r>
          </w:p>
        </w:tc>
      </w:tr>
      <w:tr w:rsidR="0047651B" w:rsidRPr="00110644" w14:paraId="6AD49DC4" w14:textId="77777777" w:rsidTr="0047329D">
        <w:trPr>
          <w:trHeight w:val="397"/>
        </w:trPr>
        <w:tc>
          <w:tcPr>
            <w:tcW w:w="516" w:type="pct"/>
            <w:vAlign w:val="center"/>
          </w:tcPr>
          <w:p w14:paraId="31444234" w14:textId="77777777" w:rsidR="0047651B" w:rsidRPr="00110644" w:rsidRDefault="0047651B" w:rsidP="00F54B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10644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423" w:type="pct"/>
            <w:vAlign w:val="center"/>
          </w:tcPr>
          <w:p w14:paraId="22AC815C" w14:textId="2956DCD2" w:rsidR="0047651B" w:rsidRPr="00110644" w:rsidRDefault="0047651B" w:rsidP="00F54B19">
            <w:pPr>
              <w:pStyle w:val="NoSpacing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644">
              <w:rPr>
                <w:rFonts w:asciiTheme="minorHAnsi" w:hAnsiTheme="minorHAnsi" w:cstheme="minorHAnsi"/>
                <w:sz w:val="20"/>
                <w:szCs w:val="20"/>
              </w:rPr>
              <w:t>Obveze za dugoročne kredite</w:t>
            </w:r>
            <w:r w:rsidR="00C824B8" w:rsidRPr="00110644">
              <w:rPr>
                <w:rFonts w:asciiTheme="minorHAnsi" w:hAnsiTheme="minorHAnsi" w:cstheme="minorHAnsi"/>
                <w:sz w:val="20"/>
                <w:szCs w:val="20"/>
              </w:rPr>
              <w:t xml:space="preserve"> (264)</w:t>
            </w:r>
          </w:p>
        </w:tc>
        <w:tc>
          <w:tcPr>
            <w:tcW w:w="1105" w:type="pct"/>
            <w:vAlign w:val="center"/>
          </w:tcPr>
          <w:p w14:paraId="4EEB704D" w14:textId="2C401645" w:rsidR="0047651B" w:rsidRPr="00110644" w:rsidRDefault="00C824B8" w:rsidP="005D203D">
            <w:pPr>
              <w:pStyle w:val="NoSpacing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10644">
              <w:rPr>
                <w:rFonts w:asciiTheme="minorHAnsi" w:hAnsiTheme="minorHAnsi" w:cstheme="minorHAnsi"/>
                <w:sz w:val="20"/>
                <w:szCs w:val="20"/>
              </w:rPr>
              <w:t>3.175.293,65</w:t>
            </w:r>
          </w:p>
        </w:tc>
        <w:tc>
          <w:tcPr>
            <w:tcW w:w="957" w:type="pct"/>
            <w:vAlign w:val="center"/>
          </w:tcPr>
          <w:p w14:paraId="3940178F" w14:textId="2493E896" w:rsidR="0047651B" w:rsidRPr="00110644" w:rsidRDefault="005A242A" w:rsidP="005D203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1064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C274EF" w:rsidRPr="00110644" w14:paraId="59DE3960" w14:textId="77777777" w:rsidTr="0047329D">
        <w:trPr>
          <w:trHeight w:val="397"/>
        </w:trPr>
        <w:tc>
          <w:tcPr>
            <w:tcW w:w="516" w:type="pct"/>
            <w:vAlign w:val="center"/>
          </w:tcPr>
          <w:p w14:paraId="79B559B7" w14:textId="77777777" w:rsidR="00C274EF" w:rsidRPr="00110644" w:rsidRDefault="0047651B" w:rsidP="00F54B19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0644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C274EF" w:rsidRPr="0011064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423" w:type="pct"/>
            <w:vAlign w:val="center"/>
          </w:tcPr>
          <w:p w14:paraId="3D3FC8E0" w14:textId="77777777" w:rsidR="00C274EF" w:rsidRPr="00110644" w:rsidRDefault="00C274EF" w:rsidP="00F54B19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0644">
              <w:rPr>
                <w:rFonts w:asciiTheme="minorHAnsi" w:hAnsiTheme="minorHAnsi" w:cstheme="minorHAnsi"/>
                <w:b/>
                <w:sz w:val="20"/>
                <w:szCs w:val="20"/>
              </w:rPr>
              <w:t>UKUPNO</w:t>
            </w:r>
          </w:p>
        </w:tc>
        <w:tc>
          <w:tcPr>
            <w:tcW w:w="1105" w:type="pct"/>
            <w:vAlign w:val="center"/>
          </w:tcPr>
          <w:p w14:paraId="530A1BE8" w14:textId="6F8C5FF3" w:rsidR="00C274EF" w:rsidRPr="00110644" w:rsidRDefault="005A242A" w:rsidP="005D203D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0644">
              <w:rPr>
                <w:rFonts w:asciiTheme="minorHAnsi" w:hAnsiTheme="minorHAnsi" w:cstheme="minorHAnsi"/>
                <w:b/>
                <w:sz w:val="20"/>
                <w:szCs w:val="20"/>
              </w:rPr>
              <w:t>4.892.555,48</w:t>
            </w:r>
          </w:p>
        </w:tc>
        <w:tc>
          <w:tcPr>
            <w:tcW w:w="957" w:type="pct"/>
            <w:vAlign w:val="center"/>
          </w:tcPr>
          <w:p w14:paraId="45DD67A7" w14:textId="0095469D" w:rsidR="00C274EF" w:rsidRPr="00110644" w:rsidRDefault="005A242A" w:rsidP="005D203D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6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60.211,72</w:t>
            </w:r>
          </w:p>
        </w:tc>
      </w:tr>
    </w:tbl>
    <w:p w14:paraId="3D4BEB32" w14:textId="77777777" w:rsidR="00C274EF" w:rsidRPr="00110644" w:rsidRDefault="00C274EF" w:rsidP="00C274EF">
      <w:pPr>
        <w:ind w:firstLine="0"/>
        <w:rPr>
          <w:rFonts w:asciiTheme="minorHAnsi" w:hAnsiTheme="minorHAnsi" w:cstheme="minorHAnsi"/>
          <w:sz w:val="22"/>
          <w:szCs w:val="22"/>
        </w:rPr>
      </w:pPr>
    </w:p>
    <w:p w14:paraId="248AB668" w14:textId="01F5ACD6" w:rsidR="00C274EF" w:rsidRPr="00110644" w:rsidRDefault="00C274EF" w:rsidP="00C274EF">
      <w:pPr>
        <w:rPr>
          <w:rFonts w:asciiTheme="minorHAnsi" w:hAnsiTheme="minorHAnsi" w:cstheme="minorHAnsi"/>
          <w:sz w:val="22"/>
          <w:szCs w:val="22"/>
        </w:rPr>
      </w:pPr>
      <w:r w:rsidRPr="00110644">
        <w:rPr>
          <w:rFonts w:asciiTheme="minorHAnsi" w:hAnsiTheme="minorHAnsi" w:cstheme="minorHAnsi"/>
          <w:sz w:val="22"/>
          <w:szCs w:val="22"/>
        </w:rPr>
        <w:lastRenderedPageBreak/>
        <w:t>Navedene obveze prema radnicima odnose se na plaću za pros</w:t>
      </w:r>
      <w:r w:rsidR="0047651B" w:rsidRPr="00110644">
        <w:rPr>
          <w:rFonts w:asciiTheme="minorHAnsi" w:hAnsiTheme="minorHAnsi" w:cstheme="minorHAnsi"/>
          <w:sz w:val="22"/>
          <w:szCs w:val="22"/>
        </w:rPr>
        <w:t>inac isplaćenu 1</w:t>
      </w:r>
      <w:r w:rsidR="005A242A" w:rsidRPr="00110644">
        <w:rPr>
          <w:rFonts w:asciiTheme="minorHAnsi" w:hAnsiTheme="minorHAnsi" w:cstheme="minorHAnsi"/>
          <w:sz w:val="22"/>
          <w:szCs w:val="22"/>
        </w:rPr>
        <w:t>5</w:t>
      </w:r>
      <w:r w:rsidR="0047651B" w:rsidRPr="00110644">
        <w:rPr>
          <w:rFonts w:asciiTheme="minorHAnsi" w:hAnsiTheme="minorHAnsi" w:cstheme="minorHAnsi"/>
          <w:sz w:val="22"/>
          <w:szCs w:val="22"/>
        </w:rPr>
        <w:t>. siječnja 202</w:t>
      </w:r>
      <w:r w:rsidR="005A242A" w:rsidRPr="00110644">
        <w:rPr>
          <w:rFonts w:asciiTheme="minorHAnsi" w:hAnsiTheme="minorHAnsi" w:cstheme="minorHAnsi"/>
          <w:sz w:val="22"/>
          <w:szCs w:val="22"/>
        </w:rPr>
        <w:t>4</w:t>
      </w:r>
      <w:r w:rsidRPr="00110644">
        <w:rPr>
          <w:rFonts w:asciiTheme="minorHAnsi" w:hAnsiTheme="minorHAnsi" w:cstheme="minorHAnsi"/>
          <w:sz w:val="22"/>
          <w:szCs w:val="22"/>
        </w:rPr>
        <w:t>. Ostale obveze odnose se na obveze prema dobavljačima za robe ili u</w:t>
      </w:r>
      <w:r w:rsidR="00F54B19" w:rsidRPr="00110644">
        <w:rPr>
          <w:rFonts w:asciiTheme="minorHAnsi" w:hAnsiTheme="minorHAnsi" w:cstheme="minorHAnsi"/>
          <w:sz w:val="22"/>
          <w:szCs w:val="22"/>
        </w:rPr>
        <w:t>sluge isporučene do 31.</w:t>
      </w:r>
      <w:r w:rsidR="00D145E2" w:rsidRPr="00110644">
        <w:rPr>
          <w:rFonts w:asciiTheme="minorHAnsi" w:hAnsiTheme="minorHAnsi" w:cstheme="minorHAnsi"/>
          <w:sz w:val="22"/>
          <w:szCs w:val="22"/>
        </w:rPr>
        <w:t>12.</w:t>
      </w:r>
      <w:r w:rsidR="00545E60">
        <w:rPr>
          <w:rFonts w:asciiTheme="minorHAnsi" w:hAnsiTheme="minorHAnsi" w:cstheme="minorHAnsi"/>
          <w:sz w:val="22"/>
          <w:szCs w:val="22"/>
        </w:rPr>
        <w:t>2023</w:t>
      </w:r>
      <w:r w:rsidR="0047651B" w:rsidRPr="00110644">
        <w:rPr>
          <w:rFonts w:asciiTheme="minorHAnsi" w:hAnsiTheme="minorHAnsi" w:cstheme="minorHAnsi"/>
          <w:sz w:val="22"/>
          <w:szCs w:val="22"/>
        </w:rPr>
        <w:t>. sa dospijećem plaćanja u 202</w:t>
      </w:r>
      <w:r w:rsidR="005A242A" w:rsidRPr="00110644">
        <w:rPr>
          <w:rFonts w:asciiTheme="minorHAnsi" w:hAnsiTheme="minorHAnsi" w:cstheme="minorHAnsi"/>
          <w:sz w:val="22"/>
          <w:szCs w:val="22"/>
        </w:rPr>
        <w:t>4</w:t>
      </w:r>
      <w:r w:rsidRPr="00110644">
        <w:rPr>
          <w:rFonts w:asciiTheme="minorHAnsi" w:hAnsiTheme="minorHAnsi" w:cstheme="minorHAnsi"/>
          <w:sz w:val="22"/>
          <w:szCs w:val="22"/>
        </w:rPr>
        <w:t>.</w:t>
      </w:r>
      <w:r w:rsidR="0047651B" w:rsidRPr="00110644">
        <w:rPr>
          <w:rFonts w:asciiTheme="minorHAnsi" w:hAnsiTheme="minorHAnsi" w:cstheme="minorHAnsi"/>
          <w:sz w:val="22"/>
          <w:szCs w:val="22"/>
        </w:rPr>
        <w:t>, kao i obveze za otplatu dugoročnog kredit</w:t>
      </w:r>
      <w:r w:rsidR="001C025E" w:rsidRPr="00110644">
        <w:rPr>
          <w:rFonts w:asciiTheme="minorHAnsi" w:hAnsiTheme="minorHAnsi" w:cstheme="minorHAnsi"/>
          <w:sz w:val="22"/>
          <w:szCs w:val="22"/>
        </w:rPr>
        <w:t>a</w:t>
      </w:r>
      <w:r w:rsidR="0047651B" w:rsidRPr="00110644">
        <w:rPr>
          <w:rFonts w:asciiTheme="minorHAnsi" w:hAnsiTheme="minorHAnsi" w:cstheme="minorHAnsi"/>
          <w:sz w:val="22"/>
          <w:szCs w:val="22"/>
        </w:rPr>
        <w:t xml:space="preserve"> koje dospijevaju u narednim godinama.</w:t>
      </w:r>
    </w:p>
    <w:p w14:paraId="3BEA8154" w14:textId="7B8971C2" w:rsidR="004F04B9" w:rsidRDefault="00545E60" w:rsidP="005A7CBE">
      <w:pPr>
        <w:rPr>
          <w:rFonts w:asciiTheme="minorHAnsi" w:hAnsiTheme="minorHAnsi" w:cstheme="minorHAnsi"/>
          <w:sz w:val="22"/>
          <w:szCs w:val="22"/>
        </w:rPr>
      </w:pPr>
      <w:r w:rsidRPr="005A7CBE">
        <w:rPr>
          <w:rFonts w:asciiTheme="minorHAnsi" w:hAnsiTheme="minorHAnsi" w:cstheme="minorHAnsi"/>
          <w:sz w:val="22"/>
          <w:szCs w:val="22"/>
        </w:rPr>
        <w:t>Gledajući po dobavljačima, n</w:t>
      </w:r>
      <w:r w:rsidR="005A242A" w:rsidRPr="005A7CBE">
        <w:rPr>
          <w:rFonts w:asciiTheme="minorHAnsi" w:hAnsiTheme="minorHAnsi" w:cstheme="minorHAnsi"/>
          <w:sz w:val="22"/>
          <w:szCs w:val="22"/>
        </w:rPr>
        <w:t>a dan 31.12.2023. godine Zavod ima sljedeće dospjele obveze do 60 dana</w:t>
      </w:r>
      <w:r w:rsidRPr="005A7CBE">
        <w:rPr>
          <w:rFonts w:asciiTheme="minorHAnsi" w:hAnsiTheme="minorHAnsi" w:cstheme="minorHAnsi"/>
          <w:sz w:val="22"/>
          <w:szCs w:val="22"/>
        </w:rPr>
        <w:t xml:space="preserve"> (TOP 10)</w:t>
      </w:r>
      <w:r w:rsidR="005A242A" w:rsidRPr="005A7CBE">
        <w:rPr>
          <w:rFonts w:asciiTheme="minorHAnsi" w:hAnsiTheme="minorHAnsi" w:cstheme="minorHAnsi"/>
          <w:sz w:val="22"/>
          <w:szCs w:val="22"/>
        </w:rPr>
        <w:t>:</w:t>
      </w:r>
    </w:p>
    <w:p w14:paraId="62DE0F31" w14:textId="3D92C984" w:rsidR="00661017" w:rsidRPr="00661017" w:rsidRDefault="00661017" w:rsidP="00661017">
      <w:pPr>
        <w:pStyle w:val="NoSpacing"/>
        <w:jc w:val="left"/>
        <w:rPr>
          <w:rFonts w:asciiTheme="minorHAnsi" w:hAnsiTheme="minorHAnsi" w:cstheme="minorHAnsi"/>
          <w:i/>
          <w:sz w:val="20"/>
          <w:szCs w:val="20"/>
        </w:rPr>
      </w:pPr>
      <w:r w:rsidRPr="00661017">
        <w:rPr>
          <w:rFonts w:asciiTheme="minorHAnsi" w:hAnsiTheme="minorHAnsi" w:cstheme="minorHAnsi"/>
          <w:i/>
          <w:sz w:val="20"/>
          <w:szCs w:val="20"/>
        </w:rPr>
        <w:t xml:space="preserve">Tablica </w:t>
      </w:r>
      <w:r>
        <w:rPr>
          <w:rFonts w:asciiTheme="minorHAnsi" w:hAnsiTheme="minorHAnsi" w:cstheme="minorHAnsi"/>
          <w:i/>
          <w:sz w:val="20"/>
          <w:szCs w:val="20"/>
        </w:rPr>
        <w:t>5b</w:t>
      </w:r>
      <w:r w:rsidRPr="00661017">
        <w:rPr>
          <w:rFonts w:asciiTheme="minorHAnsi" w:hAnsiTheme="minorHAnsi" w:cstheme="minorHAnsi"/>
          <w:i/>
          <w:sz w:val="20"/>
          <w:szCs w:val="20"/>
        </w:rPr>
        <w:t>: Podaci o dospjelim obvezama na dan 31.12.2023.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100"/>
        <w:gridCol w:w="4128"/>
        <w:gridCol w:w="1896"/>
        <w:gridCol w:w="2042"/>
      </w:tblGrid>
      <w:tr w:rsidR="005A242A" w:rsidRPr="00110644" w14:paraId="7627C747" w14:textId="77777777" w:rsidTr="0093173F">
        <w:trPr>
          <w:trHeight w:val="300"/>
          <w:jc w:val="center"/>
        </w:trPr>
        <w:tc>
          <w:tcPr>
            <w:tcW w:w="310" w:type="pct"/>
            <w:shd w:val="clear" w:color="auto" w:fill="C6D9F1" w:themeFill="text2" w:themeFillTint="33"/>
            <w:noWrap/>
            <w:vAlign w:val="bottom"/>
            <w:hideMark/>
          </w:tcPr>
          <w:p w14:paraId="1488C18B" w14:textId="77777777" w:rsidR="005A242A" w:rsidRPr="00110644" w:rsidRDefault="005A242A" w:rsidP="005A242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Rbr</w:t>
            </w:r>
            <w:proofErr w:type="spellEnd"/>
          </w:p>
        </w:tc>
        <w:tc>
          <w:tcPr>
            <w:tcW w:w="563" w:type="pct"/>
            <w:shd w:val="clear" w:color="auto" w:fill="C6D9F1" w:themeFill="text2" w:themeFillTint="33"/>
            <w:noWrap/>
            <w:vAlign w:val="bottom"/>
            <w:hideMark/>
          </w:tcPr>
          <w:p w14:paraId="5D75A2CC" w14:textId="77777777" w:rsidR="005A242A" w:rsidRPr="00110644" w:rsidRDefault="005A242A" w:rsidP="005A242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Šifra</w:t>
            </w:r>
          </w:p>
        </w:tc>
        <w:tc>
          <w:tcPr>
            <w:tcW w:w="2112" w:type="pct"/>
            <w:shd w:val="clear" w:color="auto" w:fill="C6D9F1" w:themeFill="text2" w:themeFillTint="33"/>
            <w:noWrap/>
            <w:vAlign w:val="bottom"/>
            <w:hideMark/>
          </w:tcPr>
          <w:p w14:paraId="04F359E2" w14:textId="77777777" w:rsidR="005A242A" w:rsidRPr="00110644" w:rsidRDefault="005A242A" w:rsidP="005A242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Ime</w:t>
            </w:r>
          </w:p>
        </w:tc>
        <w:tc>
          <w:tcPr>
            <w:tcW w:w="970" w:type="pct"/>
            <w:shd w:val="clear" w:color="auto" w:fill="C6D9F1" w:themeFill="text2" w:themeFillTint="33"/>
            <w:noWrap/>
            <w:vAlign w:val="bottom"/>
            <w:hideMark/>
          </w:tcPr>
          <w:p w14:paraId="06CBEA8D" w14:textId="77777777" w:rsidR="005A242A" w:rsidRPr="00110644" w:rsidRDefault="005A242A" w:rsidP="001C025E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Nije dospjelo</w:t>
            </w:r>
          </w:p>
        </w:tc>
        <w:tc>
          <w:tcPr>
            <w:tcW w:w="1045" w:type="pct"/>
            <w:shd w:val="clear" w:color="auto" w:fill="C6D9F1" w:themeFill="text2" w:themeFillTint="33"/>
            <w:noWrap/>
            <w:vAlign w:val="bottom"/>
            <w:hideMark/>
          </w:tcPr>
          <w:p w14:paraId="57F1E695" w14:textId="22BC6974" w:rsidR="005A242A" w:rsidRPr="00110644" w:rsidRDefault="00F72990" w:rsidP="001C025E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Dospjelo </w:t>
            </w:r>
            <w:r w:rsidR="005A242A"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1-60 dana</w:t>
            </w:r>
          </w:p>
        </w:tc>
      </w:tr>
      <w:tr w:rsidR="005A242A" w:rsidRPr="00110644" w14:paraId="6970625B" w14:textId="77777777" w:rsidTr="0093173F">
        <w:trPr>
          <w:trHeight w:val="300"/>
          <w:jc w:val="center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14:paraId="6F14F73C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125DB029" w14:textId="77777777" w:rsidR="005A242A" w:rsidRPr="00110644" w:rsidRDefault="005A242A" w:rsidP="005A242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0231</w:t>
            </w:r>
          </w:p>
        </w:tc>
        <w:tc>
          <w:tcPr>
            <w:tcW w:w="2112" w:type="pct"/>
            <w:shd w:val="clear" w:color="auto" w:fill="auto"/>
            <w:noWrap/>
            <w:vAlign w:val="bottom"/>
            <w:hideMark/>
          </w:tcPr>
          <w:p w14:paraId="2F3BD602" w14:textId="77777777" w:rsidR="005A242A" w:rsidRPr="00110644" w:rsidRDefault="005A242A" w:rsidP="005A242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STORM COMPUTERS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14:paraId="258DDEA6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24.739,96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14:paraId="4EA34A90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13.033,81</w:t>
            </w:r>
          </w:p>
        </w:tc>
      </w:tr>
      <w:tr w:rsidR="005A242A" w:rsidRPr="00110644" w14:paraId="45DFF1AA" w14:textId="77777777" w:rsidTr="0093173F">
        <w:trPr>
          <w:trHeight w:val="300"/>
          <w:jc w:val="center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14:paraId="177A3A6B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471FC9ED" w14:textId="77777777" w:rsidR="005A242A" w:rsidRPr="00110644" w:rsidRDefault="005A242A" w:rsidP="005A242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0838</w:t>
            </w:r>
          </w:p>
        </w:tc>
        <w:tc>
          <w:tcPr>
            <w:tcW w:w="2112" w:type="pct"/>
            <w:shd w:val="clear" w:color="auto" w:fill="auto"/>
            <w:noWrap/>
            <w:vAlign w:val="bottom"/>
            <w:hideMark/>
          </w:tcPr>
          <w:p w14:paraId="299265A3" w14:textId="77777777" w:rsidR="005A242A" w:rsidRPr="00110644" w:rsidRDefault="005A242A" w:rsidP="005A242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 &amp; F ZAŠTITA D.O.O.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14:paraId="7051DE33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9.442,80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14:paraId="0FC64F61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9.442,80</w:t>
            </w:r>
          </w:p>
        </w:tc>
      </w:tr>
      <w:tr w:rsidR="005A242A" w:rsidRPr="00110644" w14:paraId="4FA4A522" w14:textId="77777777" w:rsidTr="0093173F">
        <w:trPr>
          <w:trHeight w:val="300"/>
          <w:jc w:val="center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14:paraId="3B46CDCA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26519FB7" w14:textId="77777777" w:rsidR="005A242A" w:rsidRPr="00110644" w:rsidRDefault="005A242A" w:rsidP="005A242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0451</w:t>
            </w:r>
          </w:p>
        </w:tc>
        <w:tc>
          <w:tcPr>
            <w:tcW w:w="2112" w:type="pct"/>
            <w:shd w:val="clear" w:color="auto" w:fill="auto"/>
            <w:noWrap/>
            <w:vAlign w:val="bottom"/>
            <w:hideMark/>
          </w:tcPr>
          <w:p w14:paraId="24690773" w14:textId="77777777" w:rsidR="005A242A" w:rsidRPr="00110644" w:rsidRDefault="005A242A" w:rsidP="005A242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DELTRON d.o.o.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14:paraId="6C4F83B1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17.857,10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14:paraId="417C10FE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9.228,55</w:t>
            </w:r>
          </w:p>
        </w:tc>
      </w:tr>
      <w:tr w:rsidR="005A242A" w:rsidRPr="00110644" w14:paraId="7BCBEA07" w14:textId="77777777" w:rsidTr="0093173F">
        <w:trPr>
          <w:trHeight w:val="300"/>
          <w:jc w:val="center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14:paraId="7A5FE06A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4B314542" w14:textId="77777777" w:rsidR="005A242A" w:rsidRPr="00110644" w:rsidRDefault="005A242A" w:rsidP="005A242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0242</w:t>
            </w:r>
          </w:p>
        </w:tc>
        <w:tc>
          <w:tcPr>
            <w:tcW w:w="2112" w:type="pct"/>
            <w:shd w:val="clear" w:color="auto" w:fill="auto"/>
            <w:noWrap/>
            <w:vAlign w:val="bottom"/>
            <w:hideMark/>
          </w:tcPr>
          <w:p w14:paraId="3C3ACD78" w14:textId="77777777" w:rsidR="005A242A" w:rsidRPr="00110644" w:rsidRDefault="005A242A" w:rsidP="005A242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CROATIA OSIGURANJE D.D.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14:paraId="36E93BED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16.442,59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14:paraId="2CACC9F1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8.215,25</w:t>
            </w:r>
          </w:p>
        </w:tc>
      </w:tr>
      <w:tr w:rsidR="005A242A" w:rsidRPr="00110644" w14:paraId="0B88DFB1" w14:textId="77777777" w:rsidTr="0093173F">
        <w:trPr>
          <w:trHeight w:val="300"/>
          <w:jc w:val="center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14:paraId="58DE19AF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5B8C3440" w14:textId="77777777" w:rsidR="005A242A" w:rsidRPr="00110644" w:rsidRDefault="005A242A" w:rsidP="005A242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0432</w:t>
            </w:r>
          </w:p>
        </w:tc>
        <w:tc>
          <w:tcPr>
            <w:tcW w:w="2112" w:type="pct"/>
            <w:shd w:val="clear" w:color="auto" w:fill="auto"/>
            <w:noWrap/>
            <w:vAlign w:val="bottom"/>
            <w:hideMark/>
          </w:tcPr>
          <w:p w14:paraId="2CBD67BF" w14:textId="77777777" w:rsidR="005A242A" w:rsidRPr="00110644" w:rsidRDefault="005A242A" w:rsidP="005A242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PIN TEHNIKA d.o.o.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14:paraId="7941E4D2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14:paraId="6FF455B4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7.776,00</w:t>
            </w:r>
          </w:p>
        </w:tc>
      </w:tr>
      <w:tr w:rsidR="005A242A" w:rsidRPr="00110644" w14:paraId="28AD2E80" w14:textId="77777777" w:rsidTr="0093173F">
        <w:trPr>
          <w:trHeight w:val="300"/>
          <w:jc w:val="center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14:paraId="1CFA422C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47C966A7" w14:textId="77777777" w:rsidR="005A242A" w:rsidRPr="00110644" w:rsidRDefault="005A242A" w:rsidP="005A242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0018</w:t>
            </w:r>
          </w:p>
        </w:tc>
        <w:tc>
          <w:tcPr>
            <w:tcW w:w="2112" w:type="pct"/>
            <w:shd w:val="clear" w:color="auto" w:fill="auto"/>
            <w:noWrap/>
            <w:vAlign w:val="bottom"/>
            <w:hideMark/>
          </w:tcPr>
          <w:p w14:paraId="1473F840" w14:textId="77777777" w:rsidR="005A242A" w:rsidRPr="00110644" w:rsidRDefault="005A242A" w:rsidP="005A242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VODOOPSKRBA I ODVODNJA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14:paraId="40077216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1.535,90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14:paraId="78B090BA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1.987,63</w:t>
            </w:r>
          </w:p>
        </w:tc>
      </w:tr>
      <w:tr w:rsidR="005A242A" w:rsidRPr="00110644" w14:paraId="59D755C4" w14:textId="77777777" w:rsidTr="0093173F">
        <w:trPr>
          <w:trHeight w:val="300"/>
          <w:jc w:val="center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14:paraId="16DDB2F4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5226F4EF" w14:textId="77777777" w:rsidR="005A242A" w:rsidRPr="00110644" w:rsidRDefault="005A242A" w:rsidP="005A242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2112" w:type="pct"/>
            <w:shd w:val="clear" w:color="auto" w:fill="auto"/>
            <w:noWrap/>
            <w:vAlign w:val="bottom"/>
            <w:hideMark/>
          </w:tcPr>
          <w:p w14:paraId="3B8F5ACD" w14:textId="77777777" w:rsidR="005A242A" w:rsidRPr="00110644" w:rsidRDefault="005A242A" w:rsidP="005A242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ČISTOĆA d.o.o.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14:paraId="059B4C7C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557,90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14:paraId="31D1D4A4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1.480,01</w:t>
            </w:r>
          </w:p>
        </w:tc>
      </w:tr>
      <w:tr w:rsidR="005A242A" w:rsidRPr="00110644" w14:paraId="45B212B3" w14:textId="77777777" w:rsidTr="0093173F">
        <w:trPr>
          <w:trHeight w:val="300"/>
          <w:jc w:val="center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14:paraId="35023744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310EF73B" w14:textId="77777777" w:rsidR="005A242A" w:rsidRPr="00110644" w:rsidRDefault="005A242A" w:rsidP="005A242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0191</w:t>
            </w:r>
          </w:p>
        </w:tc>
        <w:tc>
          <w:tcPr>
            <w:tcW w:w="2112" w:type="pct"/>
            <w:shd w:val="clear" w:color="auto" w:fill="auto"/>
            <w:noWrap/>
            <w:vAlign w:val="bottom"/>
            <w:hideMark/>
          </w:tcPr>
          <w:p w14:paraId="262F6FDF" w14:textId="77777777" w:rsidR="005A242A" w:rsidRPr="00110644" w:rsidRDefault="005A242A" w:rsidP="005A242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INEL-MEDICINSKA TEHNIKA d.o.o.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14:paraId="04E384E6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14:paraId="276E1897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1.350,00</w:t>
            </w:r>
          </w:p>
        </w:tc>
      </w:tr>
      <w:tr w:rsidR="005A242A" w:rsidRPr="00110644" w14:paraId="148E8392" w14:textId="77777777" w:rsidTr="0093173F">
        <w:trPr>
          <w:trHeight w:val="300"/>
          <w:jc w:val="center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14:paraId="5B843F8F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7B872551" w14:textId="77777777" w:rsidR="005A242A" w:rsidRPr="00110644" w:rsidRDefault="005A242A" w:rsidP="005A242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0182</w:t>
            </w:r>
          </w:p>
        </w:tc>
        <w:tc>
          <w:tcPr>
            <w:tcW w:w="2112" w:type="pct"/>
            <w:shd w:val="clear" w:color="auto" w:fill="auto"/>
            <w:noWrap/>
            <w:vAlign w:val="bottom"/>
            <w:hideMark/>
          </w:tcPr>
          <w:p w14:paraId="0AAF8280" w14:textId="77777777" w:rsidR="005A242A" w:rsidRPr="00110644" w:rsidRDefault="005A242A" w:rsidP="005A242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SNJEŽANA NOVA D.O.O.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14:paraId="0A2E1589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14:paraId="24FCE29E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950,00</w:t>
            </w:r>
          </w:p>
        </w:tc>
      </w:tr>
      <w:tr w:rsidR="005A242A" w:rsidRPr="00110644" w14:paraId="0D5A1A0A" w14:textId="77777777" w:rsidTr="0093173F">
        <w:trPr>
          <w:trHeight w:val="300"/>
          <w:jc w:val="center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14:paraId="3A5A260C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2F726211" w14:textId="77777777" w:rsidR="005A242A" w:rsidRPr="00110644" w:rsidRDefault="005A242A" w:rsidP="005A242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0030</w:t>
            </w:r>
          </w:p>
        </w:tc>
        <w:tc>
          <w:tcPr>
            <w:tcW w:w="2112" w:type="pct"/>
            <w:shd w:val="clear" w:color="auto" w:fill="auto"/>
            <w:noWrap/>
            <w:vAlign w:val="bottom"/>
            <w:hideMark/>
          </w:tcPr>
          <w:p w14:paraId="5228F97F" w14:textId="77777777" w:rsidR="005A242A" w:rsidRPr="00110644" w:rsidRDefault="005A242A" w:rsidP="005A242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MUP RH-PU Zagrebačka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14:paraId="08F85661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791,51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14:paraId="3A168787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841,28</w:t>
            </w:r>
          </w:p>
        </w:tc>
      </w:tr>
      <w:tr w:rsidR="005A242A" w:rsidRPr="00110644" w14:paraId="382C0D0D" w14:textId="77777777" w:rsidTr="0093173F">
        <w:trPr>
          <w:trHeight w:val="300"/>
          <w:jc w:val="center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14:paraId="54A5BCDC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754B2BD8" w14:textId="77777777" w:rsidR="005A242A" w:rsidRPr="00110644" w:rsidRDefault="005A242A" w:rsidP="005A242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2" w:type="pct"/>
            <w:shd w:val="clear" w:color="auto" w:fill="auto"/>
            <w:noWrap/>
            <w:vAlign w:val="bottom"/>
            <w:hideMark/>
          </w:tcPr>
          <w:p w14:paraId="5FDDFB32" w14:textId="77777777" w:rsidR="005A242A" w:rsidRPr="00110644" w:rsidRDefault="005A242A" w:rsidP="005A242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Ostali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14:paraId="61FAA592" w14:textId="77777777" w:rsidR="005A242A" w:rsidRPr="00110644" w:rsidRDefault="005A242A" w:rsidP="005A242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14:paraId="67AECE45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5.906,39</w:t>
            </w:r>
          </w:p>
        </w:tc>
      </w:tr>
      <w:tr w:rsidR="005A242A" w:rsidRPr="00110644" w14:paraId="2D797539" w14:textId="77777777" w:rsidTr="0093173F">
        <w:trPr>
          <w:trHeight w:val="300"/>
          <w:jc w:val="center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14:paraId="0CFD795A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73252C10" w14:textId="77777777" w:rsidR="005A242A" w:rsidRPr="00110644" w:rsidRDefault="005A242A" w:rsidP="005A242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2" w:type="pct"/>
            <w:shd w:val="clear" w:color="auto" w:fill="auto"/>
            <w:noWrap/>
            <w:vAlign w:val="bottom"/>
            <w:hideMark/>
          </w:tcPr>
          <w:p w14:paraId="74184EC1" w14:textId="77777777" w:rsidR="005A242A" w:rsidRPr="00110644" w:rsidRDefault="005A242A" w:rsidP="005A242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14:paraId="63924682" w14:textId="77777777" w:rsidR="005A242A" w:rsidRPr="00110644" w:rsidRDefault="005A242A" w:rsidP="005A242A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14:paraId="7DA7E7ED" w14:textId="77777777" w:rsidR="005A242A" w:rsidRPr="00110644" w:rsidRDefault="005A242A" w:rsidP="005A242A">
            <w:pPr>
              <w:spacing w:after="0" w:line="240" w:lineRule="auto"/>
              <w:ind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60.211,72</w:t>
            </w:r>
          </w:p>
        </w:tc>
      </w:tr>
    </w:tbl>
    <w:p w14:paraId="61FA87ED" w14:textId="243233D9" w:rsidR="00320480" w:rsidRPr="00110644" w:rsidRDefault="00DF3EEA" w:rsidP="00E54002">
      <w:pPr>
        <w:pStyle w:val="Heading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Stanje novčanih sredstava</w:t>
      </w:r>
    </w:p>
    <w:p w14:paraId="68890A9D" w14:textId="5D139414" w:rsidR="00320480" w:rsidRPr="00110644" w:rsidRDefault="00320480" w:rsidP="00320480">
      <w:pPr>
        <w:ind w:firstLine="0"/>
        <w:rPr>
          <w:rFonts w:asciiTheme="minorHAnsi" w:hAnsiTheme="minorHAnsi" w:cstheme="minorHAnsi"/>
        </w:rPr>
      </w:pPr>
      <w:r w:rsidRPr="00110644">
        <w:rPr>
          <w:rFonts w:asciiTheme="minorHAnsi" w:hAnsiTheme="minorHAnsi" w:cstheme="minorHAnsi"/>
        </w:rPr>
        <w:t xml:space="preserve">Gledajući posljednje tri poslovne godine kroz </w:t>
      </w:r>
      <w:r w:rsidR="00545E60">
        <w:rPr>
          <w:rFonts w:asciiTheme="minorHAnsi" w:hAnsiTheme="minorHAnsi" w:cstheme="minorHAnsi"/>
        </w:rPr>
        <w:t>kretanje minimalnog</w:t>
      </w:r>
      <w:r w:rsidRPr="00110644">
        <w:rPr>
          <w:rFonts w:asciiTheme="minorHAnsi" w:hAnsiTheme="minorHAnsi" w:cstheme="minorHAnsi"/>
        </w:rPr>
        <w:t xml:space="preserve"> mjes</w:t>
      </w:r>
      <w:r w:rsidR="00545E60">
        <w:rPr>
          <w:rFonts w:asciiTheme="minorHAnsi" w:hAnsiTheme="minorHAnsi" w:cstheme="minorHAnsi"/>
        </w:rPr>
        <w:t>ečnog salda</w:t>
      </w:r>
      <w:r w:rsidRPr="00110644">
        <w:rPr>
          <w:rFonts w:asciiTheme="minorHAnsi" w:hAnsiTheme="minorHAnsi" w:cstheme="minorHAnsi"/>
        </w:rPr>
        <w:t xml:space="preserve"> po poslovnom računu</w:t>
      </w:r>
      <w:r w:rsidR="00545E60">
        <w:rPr>
          <w:rFonts w:asciiTheme="minorHAnsi" w:hAnsiTheme="minorHAnsi" w:cstheme="minorHAnsi"/>
        </w:rPr>
        <w:t>,</w:t>
      </w:r>
      <w:r w:rsidRPr="00110644">
        <w:rPr>
          <w:rFonts w:asciiTheme="minorHAnsi" w:hAnsiTheme="minorHAnsi" w:cstheme="minorHAnsi"/>
        </w:rPr>
        <w:t xml:space="preserve"> vidi se</w:t>
      </w:r>
      <w:r w:rsidR="007176F8" w:rsidRPr="00110644">
        <w:rPr>
          <w:rFonts w:asciiTheme="minorHAnsi" w:hAnsiTheme="minorHAnsi" w:cstheme="minorHAnsi"/>
        </w:rPr>
        <w:t xml:space="preserve"> </w:t>
      </w:r>
      <w:r w:rsidR="00545E60">
        <w:rPr>
          <w:rFonts w:asciiTheme="minorHAnsi" w:hAnsiTheme="minorHAnsi" w:cstheme="minorHAnsi"/>
        </w:rPr>
        <w:t>osjetno</w:t>
      </w:r>
      <w:r w:rsidR="007176F8" w:rsidRPr="00110644">
        <w:rPr>
          <w:rFonts w:asciiTheme="minorHAnsi" w:hAnsiTheme="minorHAnsi" w:cstheme="minorHAnsi"/>
        </w:rPr>
        <w:t xml:space="preserve"> smanjivanje</w:t>
      </w:r>
      <w:r w:rsidR="00545E60">
        <w:rPr>
          <w:rFonts w:asciiTheme="minorHAnsi" w:hAnsiTheme="minorHAnsi" w:cstheme="minorHAnsi"/>
        </w:rPr>
        <w:t xml:space="preserve"> salda kao</w:t>
      </w:r>
      <w:r w:rsidR="00DF3EEA">
        <w:rPr>
          <w:rFonts w:asciiTheme="minorHAnsi" w:hAnsiTheme="minorHAnsi" w:cstheme="minorHAnsi"/>
        </w:rPr>
        <w:t xml:space="preserve"> svojevrsne likvidnosne rezerve.</w:t>
      </w:r>
    </w:p>
    <w:p w14:paraId="1F7BC228" w14:textId="520CFDD5" w:rsidR="0048158F" w:rsidRDefault="0048158F" w:rsidP="00320480">
      <w:pPr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Saldo računa na 31.12.2023. možemo prema izvorima podijeliti na sljedeći način: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8022"/>
      </w:tblGrid>
      <w:tr w:rsidR="0048158F" w:rsidRPr="0048158F" w14:paraId="306F7F34" w14:textId="77777777" w:rsidTr="0048158F">
        <w:trPr>
          <w:trHeight w:val="300"/>
        </w:trPr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29381" w14:textId="03BBA22C" w:rsidR="0048158F" w:rsidRPr="0048158F" w:rsidRDefault="0048158F" w:rsidP="0048158F">
            <w:pPr>
              <w:spacing w:after="0" w:line="240" w:lineRule="auto"/>
              <w:ind w:firstLine="0"/>
              <w:jc w:val="center"/>
              <w:rPr>
                <w:rFonts w:eastAsia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color w:val="1F497D"/>
                <w:sz w:val="22"/>
                <w:szCs w:val="22"/>
                <w:lang w:eastAsia="en-US"/>
              </w:rPr>
              <w:t>Iznos</w:t>
            </w:r>
          </w:p>
        </w:tc>
        <w:tc>
          <w:tcPr>
            <w:tcW w:w="41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8A9E" w14:textId="5E6347BF" w:rsidR="0048158F" w:rsidRPr="0048158F" w:rsidRDefault="0048158F" w:rsidP="0048158F">
            <w:pPr>
              <w:spacing w:after="0" w:line="240" w:lineRule="auto"/>
              <w:ind w:firstLine="0"/>
              <w:jc w:val="center"/>
              <w:rPr>
                <w:rFonts w:eastAsia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color w:val="1F497D"/>
                <w:sz w:val="22"/>
                <w:szCs w:val="22"/>
                <w:lang w:eastAsia="en-US"/>
              </w:rPr>
              <w:t>Izvor financiranja</w:t>
            </w:r>
          </w:p>
        </w:tc>
      </w:tr>
      <w:tr w:rsidR="0048158F" w:rsidRPr="0048158F" w14:paraId="29B1A707" w14:textId="77777777" w:rsidTr="0048158F">
        <w:trPr>
          <w:trHeight w:val="300"/>
        </w:trPr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3C4C4" w14:textId="77777777" w:rsidR="0048158F" w:rsidRPr="0048158F" w:rsidRDefault="0048158F" w:rsidP="0048158F">
            <w:pPr>
              <w:spacing w:after="0" w:line="240" w:lineRule="auto"/>
              <w:ind w:firstLine="0"/>
              <w:jc w:val="right"/>
              <w:rPr>
                <w:rFonts w:eastAsia="Calibri" w:cs="Calibri"/>
                <w:color w:val="1F497D"/>
                <w:sz w:val="22"/>
                <w:szCs w:val="22"/>
                <w:lang w:eastAsia="en-US"/>
              </w:rPr>
            </w:pPr>
            <w:r w:rsidRPr="0048158F">
              <w:rPr>
                <w:rFonts w:eastAsia="Calibri" w:cs="Calibri"/>
                <w:color w:val="1F497D"/>
                <w:sz w:val="22"/>
                <w:szCs w:val="22"/>
                <w:lang w:eastAsia="en-US"/>
              </w:rPr>
              <w:t>89.402,51</w:t>
            </w:r>
          </w:p>
        </w:tc>
        <w:tc>
          <w:tcPr>
            <w:tcW w:w="41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0852B" w14:textId="694DD45D" w:rsidR="0048158F" w:rsidRPr="0048158F" w:rsidRDefault="0048158F" w:rsidP="0048158F">
            <w:pPr>
              <w:spacing w:after="0" w:line="240" w:lineRule="auto"/>
              <w:ind w:firstLine="0"/>
              <w:jc w:val="left"/>
              <w:rPr>
                <w:rFonts w:eastAsia="Calibri" w:cs="Calibri"/>
                <w:color w:val="1F497D"/>
                <w:sz w:val="22"/>
                <w:szCs w:val="22"/>
                <w:lang w:eastAsia="en-US"/>
              </w:rPr>
            </w:pPr>
            <w:r w:rsidRPr="0048158F">
              <w:rPr>
                <w:rFonts w:eastAsia="Calibri" w:cs="Calibri"/>
                <w:color w:val="1F497D"/>
                <w:sz w:val="22"/>
                <w:szCs w:val="22"/>
                <w:lang w:eastAsia="en-US"/>
              </w:rPr>
              <w:t>111 Opći prihodi</w:t>
            </w:r>
            <w:r>
              <w:rPr>
                <w:rFonts w:eastAsia="Calibri" w:cs="Calibri"/>
                <w:color w:val="1F497D"/>
                <w:sz w:val="22"/>
                <w:szCs w:val="22"/>
                <w:lang w:eastAsia="en-US"/>
              </w:rPr>
              <w:t xml:space="preserve"> (Grad Zagreb)</w:t>
            </w:r>
          </w:p>
        </w:tc>
      </w:tr>
      <w:tr w:rsidR="0048158F" w:rsidRPr="0048158F" w14:paraId="372BA67F" w14:textId="77777777" w:rsidTr="0048158F">
        <w:trPr>
          <w:trHeight w:val="300"/>
        </w:trPr>
        <w:tc>
          <w:tcPr>
            <w:tcW w:w="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17A4E" w14:textId="77777777" w:rsidR="0048158F" w:rsidRPr="0048158F" w:rsidRDefault="0048158F" w:rsidP="0048158F">
            <w:pPr>
              <w:spacing w:after="0" w:line="240" w:lineRule="auto"/>
              <w:ind w:firstLine="0"/>
              <w:jc w:val="right"/>
              <w:rPr>
                <w:rFonts w:eastAsia="Calibri" w:cs="Calibri"/>
                <w:color w:val="1F497D"/>
                <w:sz w:val="22"/>
                <w:szCs w:val="22"/>
                <w:lang w:eastAsia="en-US"/>
              </w:rPr>
            </w:pPr>
            <w:r w:rsidRPr="0048158F">
              <w:rPr>
                <w:rFonts w:eastAsia="Calibri" w:cs="Calibri"/>
                <w:color w:val="1F497D"/>
                <w:sz w:val="22"/>
                <w:szCs w:val="22"/>
                <w:lang w:eastAsia="en-US"/>
              </w:rPr>
              <w:t>45.230,01</w:t>
            </w:r>
          </w:p>
        </w:tc>
        <w:tc>
          <w:tcPr>
            <w:tcW w:w="4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DD61A" w14:textId="77777777" w:rsidR="0048158F" w:rsidRPr="0048158F" w:rsidRDefault="0048158F" w:rsidP="0048158F">
            <w:pPr>
              <w:spacing w:after="0" w:line="240" w:lineRule="auto"/>
              <w:ind w:firstLine="0"/>
              <w:jc w:val="left"/>
              <w:rPr>
                <w:rFonts w:eastAsia="Calibri" w:cs="Calibri"/>
                <w:color w:val="1F497D"/>
                <w:sz w:val="22"/>
                <w:szCs w:val="22"/>
                <w:lang w:eastAsia="en-US"/>
              </w:rPr>
            </w:pPr>
            <w:r w:rsidRPr="0048158F">
              <w:rPr>
                <w:rFonts w:eastAsia="Calibri" w:cs="Calibri"/>
                <w:color w:val="1F497D"/>
                <w:sz w:val="22"/>
                <w:szCs w:val="22"/>
                <w:lang w:eastAsia="en-US"/>
              </w:rPr>
              <w:t>311 Vlastiti prihodi</w:t>
            </w:r>
          </w:p>
        </w:tc>
      </w:tr>
      <w:tr w:rsidR="0048158F" w:rsidRPr="0048158F" w14:paraId="174D6F71" w14:textId="77777777" w:rsidTr="0048158F">
        <w:trPr>
          <w:trHeight w:val="300"/>
        </w:trPr>
        <w:tc>
          <w:tcPr>
            <w:tcW w:w="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F2424" w14:textId="77777777" w:rsidR="0048158F" w:rsidRPr="0048158F" w:rsidRDefault="0048158F" w:rsidP="0048158F">
            <w:pPr>
              <w:spacing w:after="0" w:line="240" w:lineRule="auto"/>
              <w:ind w:firstLine="0"/>
              <w:jc w:val="right"/>
              <w:rPr>
                <w:rFonts w:eastAsia="Calibri" w:cs="Calibri"/>
                <w:color w:val="1F497D"/>
                <w:sz w:val="22"/>
                <w:szCs w:val="22"/>
                <w:lang w:eastAsia="en-US"/>
              </w:rPr>
            </w:pPr>
            <w:r w:rsidRPr="0048158F">
              <w:rPr>
                <w:rFonts w:eastAsia="Calibri" w:cs="Calibri"/>
                <w:color w:val="1F497D"/>
                <w:sz w:val="22"/>
                <w:szCs w:val="22"/>
                <w:lang w:eastAsia="en-US"/>
              </w:rPr>
              <w:t>49.540,22</w:t>
            </w:r>
          </w:p>
        </w:tc>
        <w:tc>
          <w:tcPr>
            <w:tcW w:w="4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A2FEE" w14:textId="6B682437" w:rsidR="0048158F" w:rsidRPr="0048158F" w:rsidRDefault="0048158F" w:rsidP="0048158F">
            <w:pPr>
              <w:spacing w:after="0" w:line="240" w:lineRule="auto"/>
              <w:ind w:firstLine="0"/>
              <w:jc w:val="left"/>
              <w:rPr>
                <w:rFonts w:eastAsia="Calibri" w:cs="Calibri"/>
                <w:color w:val="1F497D"/>
                <w:sz w:val="22"/>
                <w:szCs w:val="22"/>
                <w:lang w:eastAsia="en-US"/>
              </w:rPr>
            </w:pPr>
            <w:r w:rsidRPr="0048158F">
              <w:rPr>
                <w:rFonts w:eastAsia="Calibri" w:cs="Calibri"/>
                <w:color w:val="1F497D"/>
                <w:sz w:val="22"/>
                <w:szCs w:val="22"/>
                <w:lang w:eastAsia="en-US"/>
              </w:rPr>
              <w:t>431 Prihodi za posebne namjene</w:t>
            </w:r>
            <w:r>
              <w:rPr>
                <w:rFonts w:eastAsia="Calibri" w:cs="Calibri"/>
                <w:color w:val="1F497D"/>
                <w:sz w:val="22"/>
                <w:szCs w:val="22"/>
                <w:lang w:eastAsia="en-US"/>
              </w:rPr>
              <w:t xml:space="preserve"> (HZZO)</w:t>
            </w:r>
          </w:p>
        </w:tc>
      </w:tr>
      <w:tr w:rsidR="0048158F" w:rsidRPr="0048158F" w14:paraId="5EC5AC3B" w14:textId="77777777" w:rsidTr="0048158F">
        <w:trPr>
          <w:trHeight w:val="300"/>
        </w:trPr>
        <w:tc>
          <w:tcPr>
            <w:tcW w:w="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8FB73" w14:textId="77777777" w:rsidR="0048158F" w:rsidRPr="0048158F" w:rsidRDefault="0048158F" w:rsidP="0048158F">
            <w:pPr>
              <w:spacing w:after="0" w:line="240" w:lineRule="auto"/>
              <w:ind w:firstLine="0"/>
              <w:jc w:val="right"/>
              <w:rPr>
                <w:rFonts w:eastAsia="Calibri" w:cs="Calibri"/>
                <w:color w:val="1F497D"/>
                <w:sz w:val="22"/>
                <w:szCs w:val="22"/>
                <w:lang w:eastAsia="en-US"/>
              </w:rPr>
            </w:pPr>
            <w:r w:rsidRPr="0048158F">
              <w:rPr>
                <w:rFonts w:eastAsia="Calibri" w:cs="Calibri"/>
                <w:color w:val="1F497D"/>
                <w:sz w:val="22"/>
                <w:szCs w:val="22"/>
                <w:lang w:eastAsia="en-US"/>
              </w:rPr>
              <w:t>72.782,54</w:t>
            </w:r>
          </w:p>
        </w:tc>
        <w:tc>
          <w:tcPr>
            <w:tcW w:w="4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32380" w14:textId="2318F808" w:rsidR="0048158F" w:rsidRPr="0048158F" w:rsidRDefault="0048158F" w:rsidP="0048158F">
            <w:pPr>
              <w:spacing w:after="0" w:line="240" w:lineRule="auto"/>
              <w:ind w:firstLine="0"/>
              <w:jc w:val="left"/>
              <w:rPr>
                <w:rFonts w:eastAsia="Calibri" w:cs="Calibri"/>
                <w:color w:val="1F497D"/>
                <w:sz w:val="22"/>
                <w:szCs w:val="22"/>
                <w:lang w:eastAsia="en-US"/>
              </w:rPr>
            </w:pPr>
            <w:r w:rsidRPr="0048158F">
              <w:rPr>
                <w:rFonts w:eastAsia="Calibri" w:cs="Calibri"/>
                <w:color w:val="1F497D"/>
                <w:sz w:val="22"/>
                <w:szCs w:val="22"/>
                <w:lang w:eastAsia="en-US"/>
              </w:rPr>
              <w:t>521 Pomoći iz dr. proračuna</w:t>
            </w:r>
            <w:r>
              <w:rPr>
                <w:rFonts w:eastAsia="Calibri" w:cs="Calibri"/>
                <w:color w:val="1F497D"/>
                <w:sz w:val="22"/>
                <w:szCs w:val="22"/>
                <w:lang w:eastAsia="en-US"/>
              </w:rPr>
              <w:t xml:space="preserve"> (MIZ sanacijska pomoć povodom sudskih tužbi</w:t>
            </w:r>
            <w:r w:rsidR="00F77D72">
              <w:rPr>
                <w:rFonts w:eastAsia="Calibri" w:cs="Calibri"/>
                <w:color w:val="1F497D"/>
                <w:sz w:val="22"/>
                <w:szCs w:val="22"/>
                <w:lang w:eastAsia="en-US"/>
              </w:rPr>
              <w:t>)</w:t>
            </w:r>
          </w:p>
        </w:tc>
      </w:tr>
      <w:tr w:rsidR="0048158F" w:rsidRPr="0048158F" w14:paraId="2D370C98" w14:textId="77777777" w:rsidTr="0048158F">
        <w:trPr>
          <w:trHeight w:val="300"/>
        </w:trPr>
        <w:tc>
          <w:tcPr>
            <w:tcW w:w="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D3F41" w14:textId="77777777" w:rsidR="0048158F" w:rsidRPr="0048158F" w:rsidRDefault="0048158F" w:rsidP="0048158F">
            <w:pPr>
              <w:spacing w:after="0" w:line="240" w:lineRule="auto"/>
              <w:ind w:firstLine="0"/>
              <w:jc w:val="right"/>
              <w:rPr>
                <w:rFonts w:eastAsia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 w:rsidRPr="0048158F">
              <w:rPr>
                <w:rFonts w:eastAsia="Calibri" w:cs="Calibri"/>
                <w:b/>
                <w:bCs/>
                <w:color w:val="1F497D"/>
                <w:sz w:val="22"/>
                <w:szCs w:val="22"/>
                <w:lang w:eastAsia="en-US"/>
              </w:rPr>
              <w:t>256.955,28</w:t>
            </w:r>
          </w:p>
        </w:tc>
        <w:tc>
          <w:tcPr>
            <w:tcW w:w="4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08910" w14:textId="77777777" w:rsidR="0048158F" w:rsidRPr="0048158F" w:rsidRDefault="0048158F" w:rsidP="0048158F">
            <w:pPr>
              <w:spacing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 w:rsidRPr="0048158F">
              <w:rPr>
                <w:rFonts w:eastAsia="Calibri" w:cs="Calibri"/>
                <w:b/>
                <w:bCs/>
                <w:color w:val="1F497D"/>
                <w:sz w:val="22"/>
                <w:szCs w:val="22"/>
                <w:lang w:eastAsia="en-US"/>
              </w:rPr>
              <w:t>Ukupno na 31.12.2023.</w:t>
            </w:r>
          </w:p>
        </w:tc>
      </w:tr>
    </w:tbl>
    <w:p w14:paraId="734CCA9B" w14:textId="34FBCB72" w:rsidR="00E54002" w:rsidRDefault="00DF3EEA" w:rsidP="00E54002">
      <w:pPr>
        <w:pStyle w:val="Heading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Izvještaj o zaduživanju na domaćem i stranom tržištu novca i kapitala</w:t>
      </w:r>
    </w:p>
    <w:p w14:paraId="7220E2DB" w14:textId="5B900DDF" w:rsidR="00DF3EEA" w:rsidRDefault="00DF3EEA" w:rsidP="00DF3EEA">
      <w:r>
        <w:t xml:space="preserve">Nastavni zavod za hitnu medicinu Grada Zagreba </w:t>
      </w:r>
      <w:r w:rsidRPr="00DF3EEA">
        <w:t>u izvještajnom razdoblju 01.01.-31.12.2023. nema novih primitaka po osnovi novog zaduživanja</w:t>
      </w:r>
      <w:r>
        <w:t>, a pregled postojećeg zaduženja sastavni je dio tablica</w:t>
      </w:r>
      <w:r w:rsidR="00E0297D">
        <w:t xml:space="preserve"> Izvještaj</w:t>
      </w:r>
      <w:r w:rsidR="0047329D">
        <w:t>a</w:t>
      </w:r>
      <w:r w:rsidR="00E0297D">
        <w:t xml:space="preserve"> o godišnjem izvršenju.</w:t>
      </w:r>
    </w:p>
    <w:p w14:paraId="539444E7" w14:textId="728AEB12" w:rsidR="001F7551" w:rsidRPr="00DF3EEA" w:rsidRDefault="001F7551" w:rsidP="001F7551">
      <w:pPr>
        <w:spacing w:after="0" w:line="240" w:lineRule="auto"/>
        <w:ind w:firstLine="0"/>
        <w:jc w:val="right"/>
      </w:pPr>
      <w:bookmarkStart w:id="9" w:name="_GoBack"/>
      <w:bookmarkEnd w:id="9"/>
    </w:p>
    <w:sectPr w:rsidR="001F7551" w:rsidRPr="00DF3EEA" w:rsidSect="0047329D">
      <w:headerReference w:type="even" r:id="rId11"/>
      <w:headerReference w:type="default" r:id="rId12"/>
      <w:footerReference w:type="default" r:id="rId13"/>
      <w:pgSz w:w="11920" w:h="16840"/>
      <w:pgMar w:top="1134" w:right="1004" w:bottom="567" w:left="1134" w:header="0" w:footer="0" w:gutter="0"/>
      <w:pgNumType w:start="1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2D04A" w14:textId="77777777" w:rsidR="00157C2F" w:rsidRPr="00144C73" w:rsidRDefault="00157C2F" w:rsidP="00C274EF">
      <w:pPr>
        <w:spacing w:after="0" w:line="240" w:lineRule="auto"/>
      </w:pPr>
      <w:r>
        <w:separator/>
      </w:r>
    </w:p>
  </w:endnote>
  <w:endnote w:type="continuationSeparator" w:id="0">
    <w:p w14:paraId="62BF738B" w14:textId="77777777" w:rsidR="00157C2F" w:rsidRPr="00144C73" w:rsidRDefault="00157C2F" w:rsidP="00C2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3034886"/>
      <w:docPartObj>
        <w:docPartGallery w:val="Page Numbers (Bottom of Page)"/>
        <w:docPartUnique/>
      </w:docPartObj>
    </w:sdtPr>
    <w:sdtContent>
      <w:p w14:paraId="78EC5FE7" w14:textId="3B6A8F3D" w:rsidR="0047329D" w:rsidRDefault="0047329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930">
          <w:rPr>
            <w:noProof/>
          </w:rPr>
          <w:t>6</w:t>
        </w:r>
        <w:r>
          <w:fldChar w:fldCharType="end"/>
        </w:r>
      </w:p>
    </w:sdtContent>
  </w:sdt>
  <w:p w14:paraId="547F49B3" w14:textId="77777777" w:rsidR="0047329D" w:rsidRDefault="00473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A37BA" w14:textId="77777777" w:rsidR="00157C2F" w:rsidRPr="00144C73" w:rsidRDefault="00157C2F" w:rsidP="00C274EF">
      <w:pPr>
        <w:spacing w:after="0" w:line="240" w:lineRule="auto"/>
      </w:pPr>
      <w:r>
        <w:separator/>
      </w:r>
    </w:p>
  </w:footnote>
  <w:footnote w:type="continuationSeparator" w:id="0">
    <w:p w14:paraId="6D1644CF" w14:textId="77777777" w:rsidR="00157C2F" w:rsidRPr="00144C73" w:rsidRDefault="00157C2F" w:rsidP="00C27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18D6B" w14:textId="77777777" w:rsidR="00DF3EEA" w:rsidRDefault="00DF3EEA" w:rsidP="005D203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56</w:t>
    </w:r>
    <w:r>
      <w:rPr>
        <w:rStyle w:val="PageNumber"/>
      </w:rPr>
      <w:fldChar w:fldCharType="end"/>
    </w:r>
  </w:p>
  <w:p w14:paraId="1EDB284D" w14:textId="77777777" w:rsidR="00DF3EEA" w:rsidRDefault="00DF3EEA">
    <w:pPr>
      <w:pStyle w:val="Header"/>
      <w:ind w:right="360"/>
    </w:pPr>
  </w:p>
  <w:p w14:paraId="58A5D110" w14:textId="77777777" w:rsidR="00DF3EEA" w:rsidRDefault="00DF3E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19839" w14:textId="77777777" w:rsidR="00DF3EEA" w:rsidRDefault="00DF3EEA" w:rsidP="00C274EF">
    <w:pPr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9F3"/>
    <w:multiLevelType w:val="hybridMultilevel"/>
    <w:tmpl w:val="A4E2D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142C2"/>
    <w:multiLevelType w:val="hybridMultilevel"/>
    <w:tmpl w:val="CBE2481E"/>
    <w:lvl w:ilvl="0" w:tplc="BE5A1D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A1432B"/>
    <w:multiLevelType w:val="hybridMultilevel"/>
    <w:tmpl w:val="28188D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B360C"/>
    <w:multiLevelType w:val="hybridMultilevel"/>
    <w:tmpl w:val="25B03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6099D"/>
    <w:multiLevelType w:val="multilevel"/>
    <w:tmpl w:val="4D2CEC82"/>
    <w:styleLink w:val="Headings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0E7A14DC"/>
    <w:multiLevelType w:val="hybridMultilevel"/>
    <w:tmpl w:val="E260FE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958A9"/>
    <w:multiLevelType w:val="hybridMultilevel"/>
    <w:tmpl w:val="162CD5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0626F"/>
    <w:multiLevelType w:val="hybridMultilevel"/>
    <w:tmpl w:val="F4E472FA"/>
    <w:lvl w:ilvl="0" w:tplc="041A0017">
      <w:start w:val="1"/>
      <w:numFmt w:val="lowerLetter"/>
      <w:lvlText w:val="%1)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6B31665"/>
    <w:multiLevelType w:val="hybridMultilevel"/>
    <w:tmpl w:val="4BEE6B9E"/>
    <w:lvl w:ilvl="0" w:tplc="041A0001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76DD6"/>
    <w:multiLevelType w:val="hybridMultilevel"/>
    <w:tmpl w:val="D226B3D2"/>
    <w:lvl w:ilvl="0" w:tplc="7ACEC28C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81F219B"/>
    <w:multiLevelType w:val="hybridMultilevel"/>
    <w:tmpl w:val="C0B228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B3027"/>
    <w:multiLevelType w:val="hybridMultilevel"/>
    <w:tmpl w:val="F490C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37A6E"/>
    <w:multiLevelType w:val="hybridMultilevel"/>
    <w:tmpl w:val="469E948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DA161C9"/>
    <w:multiLevelType w:val="hybridMultilevel"/>
    <w:tmpl w:val="49BC1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C6419"/>
    <w:multiLevelType w:val="hybridMultilevel"/>
    <w:tmpl w:val="BE9E5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5779F"/>
    <w:multiLevelType w:val="hybridMultilevel"/>
    <w:tmpl w:val="1C487CFA"/>
    <w:lvl w:ilvl="0" w:tplc="632E758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82438F8"/>
    <w:multiLevelType w:val="hybridMultilevel"/>
    <w:tmpl w:val="94C00960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28E33597"/>
    <w:multiLevelType w:val="hybridMultilevel"/>
    <w:tmpl w:val="F1306F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EA601A"/>
    <w:multiLevelType w:val="hybridMultilevel"/>
    <w:tmpl w:val="FCCCE7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0749C"/>
    <w:multiLevelType w:val="hybridMultilevel"/>
    <w:tmpl w:val="A1F6E490"/>
    <w:lvl w:ilvl="0" w:tplc="041A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20" w15:restartNumberingAfterBreak="0">
    <w:nsid w:val="2A2C13CC"/>
    <w:multiLevelType w:val="hybridMultilevel"/>
    <w:tmpl w:val="6218AA08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E00032F"/>
    <w:multiLevelType w:val="hybridMultilevel"/>
    <w:tmpl w:val="8AEC110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E2E4871"/>
    <w:multiLevelType w:val="hybridMultilevel"/>
    <w:tmpl w:val="DA0691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BB4379"/>
    <w:multiLevelType w:val="hybridMultilevel"/>
    <w:tmpl w:val="595A58DA"/>
    <w:lvl w:ilvl="0" w:tplc="041A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4" w15:restartNumberingAfterBreak="0">
    <w:nsid w:val="33197723"/>
    <w:multiLevelType w:val="hybridMultilevel"/>
    <w:tmpl w:val="0C5A40BA"/>
    <w:lvl w:ilvl="0" w:tplc="7ACEC28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368D70FD"/>
    <w:multiLevelType w:val="hybridMultilevel"/>
    <w:tmpl w:val="FFA021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01256"/>
    <w:multiLevelType w:val="hybridMultilevel"/>
    <w:tmpl w:val="2B3E5DCE"/>
    <w:lvl w:ilvl="0" w:tplc="C6428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D3C8A"/>
    <w:multiLevelType w:val="hybridMultilevel"/>
    <w:tmpl w:val="1C487CFA"/>
    <w:lvl w:ilvl="0" w:tplc="632E758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7BF2019"/>
    <w:multiLevelType w:val="hybridMultilevel"/>
    <w:tmpl w:val="5E42636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D6F5192"/>
    <w:multiLevelType w:val="hybridMultilevel"/>
    <w:tmpl w:val="4ACAAB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B6E12"/>
    <w:multiLevelType w:val="hybridMultilevel"/>
    <w:tmpl w:val="413C0C50"/>
    <w:lvl w:ilvl="0" w:tplc="041A000F">
      <w:start w:val="1"/>
      <w:numFmt w:val="decimal"/>
      <w:lvlText w:val="%1."/>
      <w:lvlJc w:val="left"/>
      <w:pPr>
        <w:ind w:left="814" w:hanging="360"/>
      </w:pPr>
    </w:lvl>
    <w:lvl w:ilvl="1" w:tplc="041A0017">
      <w:start w:val="1"/>
      <w:numFmt w:val="lowerLetter"/>
      <w:lvlText w:val="%2)"/>
      <w:lvlJc w:val="left"/>
      <w:pPr>
        <w:ind w:left="1534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2254" w:hanging="180"/>
      </w:pPr>
    </w:lvl>
    <w:lvl w:ilvl="3" w:tplc="041A000F" w:tentative="1">
      <w:start w:val="1"/>
      <w:numFmt w:val="decimal"/>
      <w:lvlText w:val="%4."/>
      <w:lvlJc w:val="left"/>
      <w:pPr>
        <w:ind w:left="2974" w:hanging="360"/>
      </w:pPr>
    </w:lvl>
    <w:lvl w:ilvl="4" w:tplc="041A0019" w:tentative="1">
      <w:start w:val="1"/>
      <w:numFmt w:val="lowerLetter"/>
      <w:lvlText w:val="%5."/>
      <w:lvlJc w:val="left"/>
      <w:pPr>
        <w:ind w:left="3694" w:hanging="360"/>
      </w:pPr>
    </w:lvl>
    <w:lvl w:ilvl="5" w:tplc="041A001B" w:tentative="1">
      <w:start w:val="1"/>
      <w:numFmt w:val="lowerRoman"/>
      <w:lvlText w:val="%6."/>
      <w:lvlJc w:val="right"/>
      <w:pPr>
        <w:ind w:left="4414" w:hanging="180"/>
      </w:pPr>
    </w:lvl>
    <w:lvl w:ilvl="6" w:tplc="041A000F" w:tentative="1">
      <w:start w:val="1"/>
      <w:numFmt w:val="decimal"/>
      <w:lvlText w:val="%7."/>
      <w:lvlJc w:val="left"/>
      <w:pPr>
        <w:ind w:left="5134" w:hanging="360"/>
      </w:pPr>
    </w:lvl>
    <w:lvl w:ilvl="7" w:tplc="041A0019" w:tentative="1">
      <w:start w:val="1"/>
      <w:numFmt w:val="lowerLetter"/>
      <w:lvlText w:val="%8."/>
      <w:lvlJc w:val="left"/>
      <w:pPr>
        <w:ind w:left="5854" w:hanging="360"/>
      </w:pPr>
    </w:lvl>
    <w:lvl w:ilvl="8" w:tplc="041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1" w15:restartNumberingAfterBreak="0">
    <w:nsid w:val="569025A4"/>
    <w:multiLevelType w:val="hybridMultilevel"/>
    <w:tmpl w:val="73BECB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524BC"/>
    <w:multiLevelType w:val="hybridMultilevel"/>
    <w:tmpl w:val="FDECEB92"/>
    <w:lvl w:ilvl="0" w:tplc="369C4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711BA"/>
    <w:multiLevelType w:val="hybridMultilevel"/>
    <w:tmpl w:val="7A30E690"/>
    <w:lvl w:ilvl="0" w:tplc="B5F04B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3615D4C"/>
    <w:multiLevelType w:val="hybridMultilevel"/>
    <w:tmpl w:val="D510570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E45F1"/>
    <w:multiLevelType w:val="hybridMultilevel"/>
    <w:tmpl w:val="CA4E9FAA"/>
    <w:lvl w:ilvl="0" w:tplc="0EE005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A1CBC"/>
    <w:multiLevelType w:val="hybridMultilevel"/>
    <w:tmpl w:val="32CE6B88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4706DE"/>
    <w:multiLevelType w:val="hybridMultilevel"/>
    <w:tmpl w:val="62E2E5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B3B7F"/>
    <w:multiLevelType w:val="hybridMultilevel"/>
    <w:tmpl w:val="511C1D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D6D2A"/>
    <w:multiLevelType w:val="hybridMultilevel"/>
    <w:tmpl w:val="402C3266"/>
    <w:lvl w:ilvl="0" w:tplc="632E758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B2BEACE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4E53B5C"/>
    <w:multiLevelType w:val="hybridMultilevel"/>
    <w:tmpl w:val="0936D52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51A3417"/>
    <w:multiLevelType w:val="hybridMultilevel"/>
    <w:tmpl w:val="353A3E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9D07C7"/>
    <w:multiLevelType w:val="hybridMultilevel"/>
    <w:tmpl w:val="178C9C22"/>
    <w:lvl w:ilvl="0" w:tplc="041A000F">
      <w:start w:val="1"/>
      <w:numFmt w:val="decimal"/>
      <w:lvlText w:val="%1."/>
      <w:lvlJc w:val="left"/>
      <w:pPr>
        <w:ind w:left="1335" w:hanging="360"/>
      </w:pPr>
    </w:lvl>
    <w:lvl w:ilvl="1" w:tplc="041A0019" w:tentative="1">
      <w:start w:val="1"/>
      <w:numFmt w:val="lowerLetter"/>
      <w:lvlText w:val="%2."/>
      <w:lvlJc w:val="left"/>
      <w:pPr>
        <w:ind w:left="2055" w:hanging="360"/>
      </w:pPr>
    </w:lvl>
    <w:lvl w:ilvl="2" w:tplc="041A001B" w:tentative="1">
      <w:start w:val="1"/>
      <w:numFmt w:val="lowerRoman"/>
      <w:lvlText w:val="%3."/>
      <w:lvlJc w:val="right"/>
      <w:pPr>
        <w:ind w:left="2775" w:hanging="180"/>
      </w:pPr>
    </w:lvl>
    <w:lvl w:ilvl="3" w:tplc="041A000F" w:tentative="1">
      <w:start w:val="1"/>
      <w:numFmt w:val="decimal"/>
      <w:lvlText w:val="%4."/>
      <w:lvlJc w:val="left"/>
      <w:pPr>
        <w:ind w:left="3495" w:hanging="360"/>
      </w:pPr>
    </w:lvl>
    <w:lvl w:ilvl="4" w:tplc="041A0019" w:tentative="1">
      <w:start w:val="1"/>
      <w:numFmt w:val="lowerLetter"/>
      <w:lvlText w:val="%5."/>
      <w:lvlJc w:val="left"/>
      <w:pPr>
        <w:ind w:left="4215" w:hanging="360"/>
      </w:pPr>
    </w:lvl>
    <w:lvl w:ilvl="5" w:tplc="041A001B" w:tentative="1">
      <w:start w:val="1"/>
      <w:numFmt w:val="lowerRoman"/>
      <w:lvlText w:val="%6."/>
      <w:lvlJc w:val="right"/>
      <w:pPr>
        <w:ind w:left="4935" w:hanging="180"/>
      </w:pPr>
    </w:lvl>
    <w:lvl w:ilvl="6" w:tplc="041A000F" w:tentative="1">
      <w:start w:val="1"/>
      <w:numFmt w:val="decimal"/>
      <w:lvlText w:val="%7."/>
      <w:lvlJc w:val="left"/>
      <w:pPr>
        <w:ind w:left="5655" w:hanging="360"/>
      </w:pPr>
    </w:lvl>
    <w:lvl w:ilvl="7" w:tplc="041A0019" w:tentative="1">
      <w:start w:val="1"/>
      <w:numFmt w:val="lowerLetter"/>
      <w:lvlText w:val="%8."/>
      <w:lvlJc w:val="left"/>
      <w:pPr>
        <w:ind w:left="6375" w:hanging="360"/>
      </w:pPr>
    </w:lvl>
    <w:lvl w:ilvl="8" w:tplc="041A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3" w15:restartNumberingAfterBreak="0">
    <w:nsid w:val="7E8E66C9"/>
    <w:multiLevelType w:val="hybridMultilevel"/>
    <w:tmpl w:val="DDBE773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37"/>
  </w:num>
  <w:num w:numId="4">
    <w:abstractNumId w:val="29"/>
  </w:num>
  <w:num w:numId="5">
    <w:abstractNumId w:val="18"/>
  </w:num>
  <w:num w:numId="6">
    <w:abstractNumId w:val="22"/>
  </w:num>
  <w:num w:numId="7">
    <w:abstractNumId w:val="25"/>
  </w:num>
  <w:num w:numId="8">
    <w:abstractNumId w:val="5"/>
  </w:num>
  <w:num w:numId="9">
    <w:abstractNumId w:val="17"/>
  </w:num>
  <w:num w:numId="10">
    <w:abstractNumId w:val="43"/>
  </w:num>
  <w:num w:numId="11">
    <w:abstractNumId w:val="21"/>
  </w:num>
  <w:num w:numId="12">
    <w:abstractNumId w:val="34"/>
  </w:num>
  <w:num w:numId="13">
    <w:abstractNumId w:val="38"/>
  </w:num>
  <w:num w:numId="14">
    <w:abstractNumId w:val="6"/>
  </w:num>
  <w:num w:numId="15">
    <w:abstractNumId w:val="10"/>
  </w:num>
  <w:num w:numId="16">
    <w:abstractNumId w:val="32"/>
  </w:num>
  <w:num w:numId="17">
    <w:abstractNumId w:val="30"/>
  </w:num>
  <w:num w:numId="18">
    <w:abstractNumId w:val="4"/>
  </w:num>
  <w:num w:numId="19">
    <w:abstractNumId w:val="8"/>
  </w:num>
  <w:num w:numId="20">
    <w:abstractNumId w:val="40"/>
  </w:num>
  <w:num w:numId="21">
    <w:abstractNumId w:val="20"/>
  </w:num>
  <w:num w:numId="22">
    <w:abstractNumId w:val="33"/>
  </w:num>
  <w:num w:numId="23">
    <w:abstractNumId w:val="2"/>
  </w:num>
  <w:num w:numId="24">
    <w:abstractNumId w:val="42"/>
  </w:num>
  <w:num w:numId="25">
    <w:abstractNumId w:val="14"/>
  </w:num>
  <w:num w:numId="26">
    <w:abstractNumId w:val="3"/>
  </w:num>
  <w:num w:numId="27">
    <w:abstractNumId w:val="16"/>
  </w:num>
  <w:num w:numId="28">
    <w:abstractNumId w:val="23"/>
  </w:num>
  <w:num w:numId="29">
    <w:abstractNumId w:val="11"/>
  </w:num>
  <w:num w:numId="30">
    <w:abstractNumId w:val="13"/>
  </w:num>
  <w:num w:numId="31">
    <w:abstractNumId w:val="26"/>
  </w:num>
  <w:num w:numId="32">
    <w:abstractNumId w:val="28"/>
  </w:num>
  <w:num w:numId="33">
    <w:abstractNumId w:val="35"/>
  </w:num>
  <w:num w:numId="34">
    <w:abstractNumId w:val="12"/>
  </w:num>
  <w:num w:numId="35">
    <w:abstractNumId w:val="24"/>
  </w:num>
  <w:num w:numId="36">
    <w:abstractNumId w:val="9"/>
  </w:num>
  <w:num w:numId="37">
    <w:abstractNumId w:val="36"/>
  </w:num>
  <w:num w:numId="38">
    <w:abstractNumId w:val="27"/>
  </w:num>
  <w:num w:numId="39">
    <w:abstractNumId w:val="8"/>
  </w:num>
  <w:num w:numId="40">
    <w:abstractNumId w:val="15"/>
  </w:num>
  <w:num w:numId="41">
    <w:abstractNumId w:val="0"/>
  </w:num>
  <w:num w:numId="42">
    <w:abstractNumId w:val="31"/>
  </w:num>
  <w:num w:numId="43">
    <w:abstractNumId w:val="8"/>
  </w:num>
  <w:num w:numId="44">
    <w:abstractNumId w:val="39"/>
  </w:num>
  <w:num w:numId="45">
    <w:abstractNumId w:val="7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EF"/>
    <w:rsid w:val="00000FCC"/>
    <w:rsid w:val="00001F92"/>
    <w:rsid w:val="00010A0F"/>
    <w:rsid w:val="00010E30"/>
    <w:rsid w:val="0001113E"/>
    <w:rsid w:val="0001274C"/>
    <w:rsid w:val="0002398B"/>
    <w:rsid w:val="00032F7A"/>
    <w:rsid w:val="00035584"/>
    <w:rsid w:val="000462D4"/>
    <w:rsid w:val="00047C2B"/>
    <w:rsid w:val="00055A50"/>
    <w:rsid w:val="0005795C"/>
    <w:rsid w:val="000704B0"/>
    <w:rsid w:val="000713E8"/>
    <w:rsid w:val="00072A7B"/>
    <w:rsid w:val="00072F97"/>
    <w:rsid w:val="000735DD"/>
    <w:rsid w:val="00074373"/>
    <w:rsid w:val="00075A35"/>
    <w:rsid w:val="00075F93"/>
    <w:rsid w:val="00081D59"/>
    <w:rsid w:val="0009319C"/>
    <w:rsid w:val="000A1099"/>
    <w:rsid w:val="000A202A"/>
    <w:rsid w:val="000A28BD"/>
    <w:rsid w:val="000A307A"/>
    <w:rsid w:val="000A4FE6"/>
    <w:rsid w:val="000B0627"/>
    <w:rsid w:val="000B4D14"/>
    <w:rsid w:val="000B5AE1"/>
    <w:rsid w:val="000B635B"/>
    <w:rsid w:val="000C3E41"/>
    <w:rsid w:val="000C5C24"/>
    <w:rsid w:val="000D1F8A"/>
    <w:rsid w:val="000D2C37"/>
    <w:rsid w:val="000D47A6"/>
    <w:rsid w:val="000D60D6"/>
    <w:rsid w:val="000D62C8"/>
    <w:rsid w:val="000E406C"/>
    <w:rsid w:val="000E4837"/>
    <w:rsid w:val="000E4901"/>
    <w:rsid w:val="000E5A87"/>
    <w:rsid w:val="000E67D5"/>
    <w:rsid w:val="000E6D0F"/>
    <w:rsid w:val="000E6FEC"/>
    <w:rsid w:val="000F317F"/>
    <w:rsid w:val="00106467"/>
    <w:rsid w:val="00106CCE"/>
    <w:rsid w:val="00110644"/>
    <w:rsid w:val="0011444F"/>
    <w:rsid w:val="001163B6"/>
    <w:rsid w:val="00116B08"/>
    <w:rsid w:val="001170A4"/>
    <w:rsid w:val="001206DA"/>
    <w:rsid w:val="00121B35"/>
    <w:rsid w:val="001275E6"/>
    <w:rsid w:val="0013120F"/>
    <w:rsid w:val="001348E8"/>
    <w:rsid w:val="001360E2"/>
    <w:rsid w:val="00137FA0"/>
    <w:rsid w:val="001477BE"/>
    <w:rsid w:val="00152E46"/>
    <w:rsid w:val="001535D7"/>
    <w:rsid w:val="001558FD"/>
    <w:rsid w:val="0015655B"/>
    <w:rsid w:val="00157C2F"/>
    <w:rsid w:val="00171356"/>
    <w:rsid w:val="00171639"/>
    <w:rsid w:val="0017184A"/>
    <w:rsid w:val="00174951"/>
    <w:rsid w:val="001749F6"/>
    <w:rsid w:val="00174AF6"/>
    <w:rsid w:val="00175C0C"/>
    <w:rsid w:val="001776D0"/>
    <w:rsid w:val="001820BD"/>
    <w:rsid w:val="00183877"/>
    <w:rsid w:val="00184554"/>
    <w:rsid w:val="00191ABE"/>
    <w:rsid w:val="00194794"/>
    <w:rsid w:val="00194899"/>
    <w:rsid w:val="001954C3"/>
    <w:rsid w:val="0019571F"/>
    <w:rsid w:val="001A5C8A"/>
    <w:rsid w:val="001B76A7"/>
    <w:rsid w:val="001C025E"/>
    <w:rsid w:val="001C0437"/>
    <w:rsid w:val="001D277C"/>
    <w:rsid w:val="001E25AB"/>
    <w:rsid w:val="001E7263"/>
    <w:rsid w:val="001F3AC1"/>
    <w:rsid w:val="001F4451"/>
    <w:rsid w:val="001F7551"/>
    <w:rsid w:val="002032BE"/>
    <w:rsid w:val="00206EA6"/>
    <w:rsid w:val="0021014E"/>
    <w:rsid w:val="00217827"/>
    <w:rsid w:val="002211F6"/>
    <w:rsid w:val="002301D9"/>
    <w:rsid w:val="00230D38"/>
    <w:rsid w:val="002358F6"/>
    <w:rsid w:val="00236D07"/>
    <w:rsid w:val="0024008F"/>
    <w:rsid w:val="00241AC9"/>
    <w:rsid w:val="00244CE3"/>
    <w:rsid w:val="002454DE"/>
    <w:rsid w:val="00250ADE"/>
    <w:rsid w:val="00252D86"/>
    <w:rsid w:val="00261536"/>
    <w:rsid w:val="002635FC"/>
    <w:rsid w:val="00265E07"/>
    <w:rsid w:val="002743E4"/>
    <w:rsid w:val="00274FF8"/>
    <w:rsid w:val="00276236"/>
    <w:rsid w:val="00281914"/>
    <w:rsid w:val="002A655C"/>
    <w:rsid w:val="002A6656"/>
    <w:rsid w:val="002A7466"/>
    <w:rsid w:val="002B0378"/>
    <w:rsid w:val="002B5BF5"/>
    <w:rsid w:val="002B5EAB"/>
    <w:rsid w:val="002C261E"/>
    <w:rsid w:val="002C3A33"/>
    <w:rsid w:val="002C462A"/>
    <w:rsid w:val="002D17FB"/>
    <w:rsid w:val="002D2B96"/>
    <w:rsid w:val="002D2D2E"/>
    <w:rsid w:val="002D3DCD"/>
    <w:rsid w:val="002D7EF7"/>
    <w:rsid w:val="002E0943"/>
    <w:rsid w:val="002E0D9E"/>
    <w:rsid w:val="002E1196"/>
    <w:rsid w:val="002E17FD"/>
    <w:rsid w:val="002E3EF6"/>
    <w:rsid w:val="002E54D5"/>
    <w:rsid w:val="002E61A6"/>
    <w:rsid w:val="002F1DA4"/>
    <w:rsid w:val="002F2770"/>
    <w:rsid w:val="002F4AA8"/>
    <w:rsid w:val="002F5DD4"/>
    <w:rsid w:val="002F5DDE"/>
    <w:rsid w:val="002F6346"/>
    <w:rsid w:val="00300C3F"/>
    <w:rsid w:val="003013A6"/>
    <w:rsid w:val="0030176F"/>
    <w:rsid w:val="0030462B"/>
    <w:rsid w:val="00316149"/>
    <w:rsid w:val="00320480"/>
    <w:rsid w:val="0032658A"/>
    <w:rsid w:val="00330669"/>
    <w:rsid w:val="0033533B"/>
    <w:rsid w:val="00343433"/>
    <w:rsid w:val="00344F5F"/>
    <w:rsid w:val="003505DB"/>
    <w:rsid w:val="00352476"/>
    <w:rsid w:val="003560C6"/>
    <w:rsid w:val="00360F36"/>
    <w:rsid w:val="00362708"/>
    <w:rsid w:val="00365E04"/>
    <w:rsid w:val="00370910"/>
    <w:rsid w:val="00372F54"/>
    <w:rsid w:val="00373B08"/>
    <w:rsid w:val="003745D3"/>
    <w:rsid w:val="00383908"/>
    <w:rsid w:val="0039066E"/>
    <w:rsid w:val="00391577"/>
    <w:rsid w:val="0039176C"/>
    <w:rsid w:val="00391E84"/>
    <w:rsid w:val="00393D4F"/>
    <w:rsid w:val="003A19C4"/>
    <w:rsid w:val="003A2BA8"/>
    <w:rsid w:val="003A4712"/>
    <w:rsid w:val="003A4E1D"/>
    <w:rsid w:val="003A612E"/>
    <w:rsid w:val="003A6669"/>
    <w:rsid w:val="003A6F57"/>
    <w:rsid w:val="003A76B3"/>
    <w:rsid w:val="003B31BC"/>
    <w:rsid w:val="003B672F"/>
    <w:rsid w:val="003B6CE8"/>
    <w:rsid w:val="003C034D"/>
    <w:rsid w:val="003C25DD"/>
    <w:rsid w:val="003C7FA8"/>
    <w:rsid w:val="003D07E9"/>
    <w:rsid w:val="003D0A94"/>
    <w:rsid w:val="003D0C7E"/>
    <w:rsid w:val="003D17C9"/>
    <w:rsid w:val="003D2D7E"/>
    <w:rsid w:val="003D64BB"/>
    <w:rsid w:val="003D7A82"/>
    <w:rsid w:val="003E18BF"/>
    <w:rsid w:val="003E4CB7"/>
    <w:rsid w:val="003E58BD"/>
    <w:rsid w:val="003E5B58"/>
    <w:rsid w:val="003F30BB"/>
    <w:rsid w:val="003F5842"/>
    <w:rsid w:val="00400167"/>
    <w:rsid w:val="00402B00"/>
    <w:rsid w:val="00402D02"/>
    <w:rsid w:val="00410387"/>
    <w:rsid w:val="004104E0"/>
    <w:rsid w:val="00411AE3"/>
    <w:rsid w:val="004169DE"/>
    <w:rsid w:val="00416E48"/>
    <w:rsid w:val="0041708A"/>
    <w:rsid w:val="004224E5"/>
    <w:rsid w:val="0042751F"/>
    <w:rsid w:val="00430610"/>
    <w:rsid w:val="00432212"/>
    <w:rsid w:val="0043263E"/>
    <w:rsid w:val="00433357"/>
    <w:rsid w:val="00433FC7"/>
    <w:rsid w:val="004359AA"/>
    <w:rsid w:val="00436DEB"/>
    <w:rsid w:val="004429B9"/>
    <w:rsid w:val="00443823"/>
    <w:rsid w:val="00447BF9"/>
    <w:rsid w:val="0045417D"/>
    <w:rsid w:val="0045516B"/>
    <w:rsid w:val="00455563"/>
    <w:rsid w:val="004629DB"/>
    <w:rsid w:val="004634A1"/>
    <w:rsid w:val="00464BBF"/>
    <w:rsid w:val="00466522"/>
    <w:rsid w:val="004675B3"/>
    <w:rsid w:val="00470636"/>
    <w:rsid w:val="004718E6"/>
    <w:rsid w:val="0047329D"/>
    <w:rsid w:val="00474A09"/>
    <w:rsid w:val="00475DE9"/>
    <w:rsid w:val="0047651B"/>
    <w:rsid w:val="0048158F"/>
    <w:rsid w:val="00482B61"/>
    <w:rsid w:val="00485843"/>
    <w:rsid w:val="00491129"/>
    <w:rsid w:val="00492DC9"/>
    <w:rsid w:val="00493576"/>
    <w:rsid w:val="00495A93"/>
    <w:rsid w:val="00495F97"/>
    <w:rsid w:val="004A029A"/>
    <w:rsid w:val="004B10F7"/>
    <w:rsid w:val="004B1680"/>
    <w:rsid w:val="004B1930"/>
    <w:rsid w:val="004B712B"/>
    <w:rsid w:val="004C1106"/>
    <w:rsid w:val="004C3709"/>
    <w:rsid w:val="004C5002"/>
    <w:rsid w:val="004C5A9C"/>
    <w:rsid w:val="004D2E17"/>
    <w:rsid w:val="004D5012"/>
    <w:rsid w:val="004D616D"/>
    <w:rsid w:val="004D7A64"/>
    <w:rsid w:val="004D7BD6"/>
    <w:rsid w:val="004E21C1"/>
    <w:rsid w:val="004E2E70"/>
    <w:rsid w:val="004E7A8C"/>
    <w:rsid w:val="004F01BB"/>
    <w:rsid w:val="004F04B9"/>
    <w:rsid w:val="004F2ED7"/>
    <w:rsid w:val="004F580F"/>
    <w:rsid w:val="004F5944"/>
    <w:rsid w:val="004F6079"/>
    <w:rsid w:val="00500C62"/>
    <w:rsid w:val="00510784"/>
    <w:rsid w:val="00513027"/>
    <w:rsid w:val="00516FF1"/>
    <w:rsid w:val="005212C6"/>
    <w:rsid w:val="005212F8"/>
    <w:rsid w:val="005237C0"/>
    <w:rsid w:val="00525215"/>
    <w:rsid w:val="0052661B"/>
    <w:rsid w:val="00526FA1"/>
    <w:rsid w:val="00526FB7"/>
    <w:rsid w:val="00536B0B"/>
    <w:rsid w:val="00537811"/>
    <w:rsid w:val="005401E0"/>
    <w:rsid w:val="00540D13"/>
    <w:rsid w:val="0054293A"/>
    <w:rsid w:val="00542F7E"/>
    <w:rsid w:val="00545E60"/>
    <w:rsid w:val="005501A9"/>
    <w:rsid w:val="00550425"/>
    <w:rsid w:val="00555209"/>
    <w:rsid w:val="005626DE"/>
    <w:rsid w:val="00563CB3"/>
    <w:rsid w:val="005711D4"/>
    <w:rsid w:val="005741B8"/>
    <w:rsid w:val="005750F8"/>
    <w:rsid w:val="005752CA"/>
    <w:rsid w:val="005805FF"/>
    <w:rsid w:val="00581A82"/>
    <w:rsid w:val="00582367"/>
    <w:rsid w:val="00583FF3"/>
    <w:rsid w:val="00591332"/>
    <w:rsid w:val="00592A29"/>
    <w:rsid w:val="00594519"/>
    <w:rsid w:val="0059786C"/>
    <w:rsid w:val="005A1CFA"/>
    <w:rsid w:val="005A242A"/>
    <w:rsid w:val="005A2F73"/>
    <w:rsid w:val="005A3C59"/>
    <w:rsid w:val="005A7CBE"/>
    <w:rsid w:val="005C58F2"/>
    <w:rsid w:val="005D1407"/>
    <w:rsid w:val="005D203D"/>
    <w:rsid w:val="005D23C3"/>
    <w:rsid w:val="005D2C7C"/>
    <w:rsid w:val="005D3898"/>
    <w:rsid w:val="005D78C5"/>
    <w:rsid w:val="005E0537"/>
    <w:rsid w:val="005E3EEE"/>
    <w:rsid w:val="005E46F2"/>
    <w:rsid w:val="005E653D"/>
    <w:rsid w:val="005E75B5"/>
    <w:rsid w:val="005F3BED"/>
    <w:rsid w:val="005F7C0C"/>
    <w:rsid w:val="005F7F3A"/>
    <w:rsid w:val="005F7F69"/>
    <w:rsid w:val="006066FC"/>
    <w:rsid w:val="00613E81"/>
    <w:rsid w:val="00622CD7"/>
    <w:rsid w:val="006252C6"/>
    <w:rsid w:val="00626D6D"/>
    <w:rsid w:val="00627E11"/>
    <w:rsid w:val="006334F2"/>
    <w:rsid w:val="006373B1"/>
    <w:rsid w:val="00637DEF"/>
    <w:rsid w:val="00641E4B"/>
    <w:rsid w:val="006423B9"/>
    <w:rsid w:val="00643409"/>
    <w:rsid w:val="00644BF1"/>
    <w:rsid w:val="00652949"/>
    <w:rsid w:val="006534B6"/>
    <w:rsid w:val="00656905"/>
    <w:rsid w:val="00661017"/>
    <w:rsid w:val="0066504E"/>
    <w:rsid w:val="00670A4F"/>
    <w:rsid w:val="00680838"/>
    <w:rsid w:val="00685D29"/>
    <w:rsid w:val="00686287"/>
    <w:rsid w:val="0069075A"/>
    <w:rsid w:val="0069217B"/>
    <w:rsid w:val="00696F09"/>
    <w:rsid w:val="0069774E"/>
    <w:rsid w:val="006A0D37"/>
    <w:rsid w:val="006A167C"/>
    <w:rsid w:val="006A16AE"/>
    <w:rsid w:val="006A18BA"/>
    <w:rsid w:val="006A2888"/>
    <w:rsid w:val="006A3B67"/>
    <w:rsid w:val="006A3C1F"/>
    <w:rsid w:val="006A5FF2"/>
    <w:rsid w:val="006B2A17"/>
    <w:rsid w:val="006D153E"/>
    <w:rsid w:val="006E209B"/>
    <w:rsid w:val="006E594F"/>
    <w:rsid w:val="006F02BE"/>
    <w:rsid w:val="006F5555"/>
    <w:rsid w:val="006F7505"/>
    <w:rsid w:val="006F76EA"/>
    <w:rsid w:val="00704241"/>
    <w:rsid w:val="00706298"/>
    <w:rsid w:val="0071021E"/>
    <w:rsid w:val="0071064B"/>
    <w:rsid w:val="00710739"/>
    <w:rsid w:val="007176F8"/>
    <w:rsid w:val="007234C7"/>
    <w:rsid w:val="00727805"/>
    <w:rsid w:val="00727AFC"/>
    <w:rsid w:val="00732CE0"/>
    <w:rsid w:val="0073452E"/>
    <w:rsid w:val="00741AAC"/>
    <w:rsid w:val="007449A1"/>
    <w:rsid w:val="007452D4"/>
    <w:rsid w:val="007471AF"/>
    <w:rsid w:val="00747985"/>
    <w:rsid w:val="00751345"/>
    <w:rsid w:val="00756A32"/>
    <w:rsid w:val="00757BD1"/>
    <w:rsid w:val="00766574"/>
    <w:rsid w:val="00770FED"/>
    <w:rsid w:val="00772196"/>
    <w:rsid w:val="00773124"/>
    <w:rsid w:val="00774F4E"/>
    <w:rsid w:val="00774F69"/>
    <w:rsid w:val="007763EB"/>
    <w:rsid w:val="00776BDC"/>
    <w:rsid w:val="00776DE4"/>
    <w:rsid w:val="0077708A"/>
    <w:rsid w:val="007771C7"/>
    <w:rsid w:val="00784DBD"/>
    <w:rsid w:val="00791F6D"/>
    <w:rsid w:val="00794BE0"/>
    <w:rsid w:val="00797774"/>
    <w:rsid w:val="00797A1B"/>
    <w:rsid w:val="007A1CFD"/>
    <w:rsid w:val="007B3870"/>
    <w:rsid w:val="007B6799"/>
    <w:rsid w:val="007B7A9F"/>
    <w:rsid w:val="007C0287"/>
    <w:rsid w:val="007C03F5"/>
    <w:rsid w:val="007C610E"/>
    <w:rsid w:val="007D1472"/>
    <w:rsid w:val="007D24E0"/>
    <w:rsid w:val="007D33BC"/>
    <w:rsid w:val="007D6FAA"/>
    <w:rsid w:val="007E0695"/>
    <w:rsid w:val="007E4174"/>
    <w:rsid w:val="007E43EC"/>
    <w:rsid w:val="007F0EC4"/>
    <w:rsid w:val="007F2E21"/>
    <w:rsid w:val="007F6451"/>
    <w:rsid w:val="007F797C"/>
    <w:rsid w:val="0080175F"/>
    <w:rsid w:val="0081082F"/>
    <w:rsid w:val="008116AA"/>
    <w:rsid w:val="00812996"/>
    <w:rsid w:val="00814C87"/>
    <w:rsid w:val="0082298B"/>
    <w:rsid w:val="008230D5"/>
    <w:rsid w:val="00823EFC"/>
    <w:rsid w:val="00825DB9"/>
    <w:rsid w:val="00826922"/>
    <w:rsid w:val="00827609"/>
    <w:rsid w:val="008300A5"/>
    <w:rsid w:val="00830514"/>
    <w:rsid w:val="008351BC"/>
    <w:rsid w:val="00841B09"/>
    <w:rsid w:val="00844662"/>
    <w:rsid w:val="00847EFA"/>
    <w:rsid w:val="0085345A"/>
    <w:rsid w:val="00854E89"/>
    <w:rsid w:val="008570FB"/>
    <w:rsid w:val="008572FC"/>
    <w:rsid w:val="008606AD"/>
    <w:rsid w:val="00863BF7"/>
    <w:rsid w:val="008704CC"/>
    <w:rsid w:val="00870F2F"/>
    <w:rsid w:val="008741E4"/>
    <w:rsid w:val="0088021C"/>
    <w:rsid w:val="00880994"/>
    <w:rsid w:val="00880A98"/>
    <w:rsid w:val="008830E3"/>
    <w:rsid w:val="00891D64"/>
    <w:rsid w:val="00891D8A"/>
    <w:rsid w:val="00892302"/>
    <w:rsid w:val="00893BA3"/>
    <w:rsid w:val="008A0AE9"/>
    <w:rsid w:val="008A0C8E"/>
    <w:rsid w:val="008A298F"/>
    <w:rsid w:val="008A635F"/>
    <w:rsid w:val="008A753E"/>
    <w:rsid w:val="008B0C87"/>
    <w:rsid w:val="008B438E"/>
    <w:rsid w:val="008B6C77"/>
    <w:rsid w:val="008D575B"/>
    <w:rsid w:val="008D6B7D"/>
    <w:rsid w:val="008D7463"/>
    <w:rsid w:val="008E31B1"/>
    <w:rsid w:val="008E7067"/>
    <w:rsid w:val="008F316E"/>
    <w:rsid w:val="008F6B55"/>
    <w:rsid w:val="009007DC"/>
    <w:rsid w:val="009017D7"/>
    <w:rsid w:val="0090242F"/>
    <w:rsid w:val="009068BF"/>
    <w:rsid w:val="00912B5A"/>
    <w:rsid w:val="00915E60"/>
    <w:rsid w:val="00916925"/>
    <w:rsid w:val="009212A9"/>
    <w:rsid w:val="00921575"/>
    <w:rsid w:val="00921A18"/>
    <w:rsid w:val="009253E8"/>
    <w:rsid w:val="00926F1E"/>
    <w:rsid w:val="0093173F"/>
    <w:rsid w:val="00933758"/>
    <w:rsid w:val="00937BC0"/>
    <w:rsid w:val="009404F4"/>
    <w:rsid w:val="00940BB0"/>
    <w:rsid w:val="0095035D"/>
    <w:rsid w:val="0095260E"/>
    <w:rsid w:val="0096374E"/>
    <w:rsid w:val="00963EDC"/>
    <w:rsid w:val="0096503C"/>
    <w:rsid w:val="0096517D"/>
    <w:rsid w:val="00971D58"/>
    <w:rsid w:val="00972B1F"/>
    <w:rsid w:val="00975681"/>
    <w:rsid w:val="00975BD1"/>
    <w:rsid w:val="00976F74"/>
    <w:rsid w:val="009805E2"/>
    <w:rsid w:val="009852EF"/>
    <w:rsid w:val="009867DF"/>
    <w:rsid w:val="0099140A"/>
    <w:rsid w:val="0099214C"/>
    <w:rsid w:val="009938B5"/>
    <w:rsid w:val="009A1C7B"/>
    <w:rsid w:val="009A2588"/>
    <w:rsid w:val="009A295A"/>
    <w:rsid w:val="009A3B5E"/>
    <w:rsid w:val="009A6B61"/>
    <w:rsid w:val="009A6E9D"/>
    <w:rsid w:val="009B02F9"/>
    <w:rsid w:val="009B6CBB"/>
    <w:rsid w:val="009C4653"/>
    <w:rsid w:val="009C4CF9"/>
    <w:rsid w:val="009C4E0F"/>
    <w:rsid w:val="009D047A"/>
    <w:rsid w:val="009D0F4D"/>
    <w:rsid w:val="009D1AA7"/>
    <w:rsid w:val="009D3545"/>
    <w:rsid w:val="009D7C66"/>
    <w:rsid w:val="009F3617"/>
    <w:rsid w:val="009F426A"/>
    <w:rsid w:val="009F5359"/>
    <w:rsid w:val="009F5DE3"/>
    <w:rsid w:val="00A02C7A"/>
    <w:rsid w:val="00A05897"/>
    <w:rsid w:val="00A05B19"/>
    <w:rsid w:val="00A13D0F"/>
    <w:rsid w:val="00A14F2A"/>
    <w:rsid w:val="00A16CF8"/>
    <w:rsid w:val="00A173C4"/>
    <w:rsid w:val="00A2311C"/>
    <w:rsid w:val="00A23167"/>
    <w:rsid w:val="00A24B63"/>
    <w:rsid w:val="00A25332"/>
    <w:rsid w:val="00A301A1"/>
    <w:rsid w:val="00A32C74"/>
    <w:rsid w:val="00A34A4A"/>
    <w:rsid w:val="00A34F4E"/>
    <w:rsid w:val="00A45A28"/>
    <w:rsid w:val="00A45CB1"/>
    <w:rsid w:val="00A54FA2"/>
    <w:rsid w:val="00A573C5"/>
    <w:rsid w:val="00A57C4E"/>
    <w:rsid w:val="00A622A3"/>
    <w:rsid w:val="00A65DCE"/>
    <w:rsid w:val="00A676EA"/>
    <w:rsid w:val="00A778C4"/>
    <w:rsid w:val="00A813AF"/>
    <w:rsid w:val="00A81979"/>
    <w:rsid w:val="00A8469B"/>
    <w:rsid w:val="00A8471A"/>
    <w:rsid w:val="00A91AE6"/>
    <w:rsid w:val="00A92160"/>
    <w:rsid w:val="00A92C21"/>
    <w:rsid w:val="00A94DD3"/>
    <w:rsid w:val="00AA0EC0"/>
    <w:rsid w:val="00AA539C"/>
    <w:rsid w:val="00AB35B4"/>
    <w:rsid w:val="00AB5D93"/>
    <w:rsid w:val="00AB6494"/>
    <w:rsid w:val="00AC3B47"/>
    <w:rsid w:val="00AC701F"/>
    <w:rsid w:val="00AD3AE4"/>
    <w:rsid w:val="00AD5F36"/>
    <w:rsid w:val="00AE12DC"/>
    <w:rsid w:val="00AE7C3C"/>
    <w:rsid w:val="00AF0728"/>
    <w:rsid w:val="00AF6EA3"/>
    <w:rsid w:val="00B065FE"/>
    <w:rsid w:val="00B16B4F"/>
    <w:rsid w:val="00B27946"/>
    <w:rsid w:val="00B314B7"/>
    <w:rsid w:val="00B31FB0"/>
    <w:rsid w:val="00B36BFE"/>
    <w:rsid w:val="00B42CA4"/>
    <w:rsid w:val="00B44258"/>
    <w:rsid w:val="00B51E67"/>
    <w:rsid w:val="00B56A70"/>
    <w:rsid w:val="00B65B2C"/>
    <w:rsid w:val="00B66150"/>
    <w:rsid w:val="00B6635C"/>
    <w:rsid w:val="00B7785E"/>
    <w:rsid w:val="00B77F56"/>
    <w:rsid w:val="00B822F8"/>
    <w:rsid w:val="00B879B5"/>
    <w:rsid w:val="00B9291E"/>
    <w:rsid w:val="00B943D6"/>
    <w:rsid w:val="00B94D4F"/>
    <w:rsid w:val="00B95ED8"/>
    <w:rsid w:val="00B973EE"/>
    <w:rsid w:val="00BA3EC7"/>
    <w:rsid w:val="00BA60EC"/>
    <w:rsid w:val="00BA703E"/>
    <w:rsid w:val="00BA71D5"/>
    <w:rsid w:val="00BB187D"/>
    <w:rsid w:val="00BB5E86"/>
    <w:rsid w:val="00BC0056"/>
    <w:rsid w:val="00BC72BE"/>
    <w:rsid w:val="00BD1A3C"/>
    <w:rsid w:val="00BD4A6D"/>
    <w:rsid w:val="00BD7C3C"/>
    <w:rsid w:val="00BE0EA2"/>
    <w:rsid w:val="00BE1C1E"/>
    <w:rsid w:val="00BE4DB6"/>
    <w:rsid w:val="00BE5C5D"/>
    <w:rsid w:val="00BE6B8B"/>
    <w:rsid w:val="00BF1296"/>
    <w:rsid w:val="00BF237B"/>
    <w:rsid w:val="00C01306"/>
    <w:rsid w:val="00C01BAD"/>
    <w:rsid w:val="00C0414A"/>
    <w:rsid w:val="00C04684"/>
    <w:rsid w:val="00C06465"/>
    <w:rsid w:val="00C1158F"/>
    <w:rsid w:val="00C16FA4"/>
    <w:rsid w:val="00C17E75"/>
    <w:rsid w:val="00C237F3"/>
    <w:rsid w:val="00C24AD3"/>
    <w:rsid w:val="00C250B2"/>
    <w:rsid w:val="00C2520F"/>
    <w:rsid w:val="00C25ADE"/>
    <w:rsid w:val="00C26770"/>
    <w:rsid w:val="00C26B64"/>
    <w:rsid w:val="00C274EF"/>
    <w:rsid w:val="00C30F94"/>
    <w:rsid w:val="00C31EFF"/>
    <w:rsid w:val="00C32B56"/>
    <w:rsid w:val="00C35779"/>
    <w:rsid w:val="00C4071E"/>
    <w:rsid w:val="00C40BB3"/>
    <w:rsid w:val="00C4256C"/>
    <w:rsid w:val="00C42B68"/>
    <w:rsid w:val="00C50BCE"/>
    <w:rsid w:val="00C53ECF"/>
    <w:rsid w:val="00C55081"/>
    <w:rsid w:val="00C56526"/>
    <w:rsid w:val="00C636C0"/>
    <w:rsid w:val="00C6620D"/>
    <w:rsid w:val="00C74F03"/>
    <w:rsid w:val="00C807AF"/>
    <w:rsid w:val="00C80B84"/>
    <w:rsid w:val="00C81962"/>
    <w:rsid w:val="00C824B8"/>
    <w:rsid w:val="00C84BCE"/>
    <w:rsid w:val="00C90889"/>
    <w:rsid w:val="00C95860"/>
    <w:rsid w:val="00CA2F5A"/>
    <w:rsid w:val="00CA31BC"/>
    <w:rsid w:val="00CA5437"/>
    <w:rsid w:val="00CA5C33"/>
    <w:rsid w:val="00CA7D36"/>
    <w:rsid w:val="00CB2F1C"/>
    <w:rsid w:val="00CB4E3B"/>
    <w:rsid w:val="00CB61F3"/>
    <w:rsid w:val="00CB66B4"/>
    <w:rsid w:val="00CC2CD5"/>
    <w:rsid w:val="00CC55DC"/>
    <w:rsid w:val="00CD010E"/>
    <w:rsid w:val="00CD7E9F"/>
    <w:rsid w:val="00CE1D9F"/>
    <w:rsid w:val="00CE2845"/>
    <w:rsid w:val="00CE6E6E"/>
    <w:rsid w:val="00CF397E"/>
    <w:rsid w:val="00D012CD"/>
    <w:rsid w:val="00D01CF0"/>
    <w:rsid w:val="00D1322E"/>
    <w:rsid w:val="00D13363"/>
    <w:rsid w:val="00D145E2"/>
    <w:rsid w:val="00D171C6"/>
    <w:rsid w:val="00D21375"/>
    <w:rsid w:val="00D2362F"/>
    <w:rsid w:val="00D23B8D"/>
    <w:rsid w:val="00D23C74"/>
    <w:rsid w:val="00D25E94"/>
    <w:rsid w:val="00D27B62"/>
    <w:rsid w:val="00D30F92"/>
    <w:rsid w:val="00D33F85"/>
    <w:rsid w:val="00D34142"/>
    <w:rsid w:val="00D354FE"/>
    <w:rsid w:val="00D47065"/>
    <w:rsid w:val="00D475B3"/>
    <w:rsid w:val="00D47C08"/>
    <w:rsid w:val="00D50AD5"/>
    <w:rsid w:val="00D6443A"/>
    <w:rsid w:val="00D654EA"/>
    <w:rsid w:val="00D66B3E"/>
    <w:rsid w:val="00D67C00"/>
    <w:rsid w:val="00D70EDE"/>
    <w:rsid w:val="00D713CB"/>
    <w:rsid w:val="00D776D3"/>
    <w:rsid w:val="00D83226"/>
    <w:rsid w:val="00D853F2"/>
    <w:rsid w:val="00DA3FC8"/>
    <w:rsid w:val="00DA41C1"/>
    <w:rsid w:val="00DA4B38"/>
    <w:rsid w:val="00DA4F94"/>
    <w:rsid w:val="00DA59C3"/>
    <w:rsid w:val="00DA7109"/>
    <w:rsid w:val="00DB2AA0"/>
    <w:rsid w:val="00DB7380"/>
    <w:rsid w:val="00DC1314"/>
    <w:rsid w:val="00DC205A"/>
    <w:rsid w:val="00DC5B0B"/>
    <w:rsid w:val="00DD006E"/>
    <w:rsid w:val="00DD0C9B"/>
    <w:rsid w:val="00DD10A5"/>
    <w:rsid w:val="00DD1C07"/>
    <w:rsid w:val="00DD6481"/>
    <w:rsid w:val="00DE0A05"/>
    <w:rsid w:val="00DE54E8"/>
    <w:rsid w:val="00DE76F8"/>
    <w:rsid w:val="00DE7A3E"/>
    <w:rsid w:val="00DF23E6"/>
    <w:rsid w:val="00DF3C6D"/>
    <w:rsid w:val="00DF3DA3"/>
    <w:rsid w:val="00DF3EEA"/>
    <w:rsid w:val="00DF4D0C"/>
    <w:rsid w:val="00DF5555"/>
    <w:rsid w:val="00E00C2A"/>
    <w:rsid w:val="00E0297D"/>
    <w:rsid w:val="00E044BB"/>
    <w:rsid w:val="00E06E26"/>
    <w:rsid w:val="00E06F65"/>
    <w:rsid w:val="00E07B5B"/>
    <w:rsid w:val="00E10A4E"/>
    <w:rsid w:val="00E20560"/>
    <w:rsid w:val="00E25090"/>
    <w:rsid w:val="00E3653D"/>
    <w:rsid w:val="00E37FBF"/>
    <w:rsid w:val="00E41516"/>
    <w:rsid w:val="00E420BE"/>
    <w:rsid w:val="00E46C28"/>
    <w:rsid w:val="00E5098D"/>
    <w:rsid w:val="00E50D58"/>
    <w:rsid w:val="00E510C0"/>
    <w:rsid w:val="00E51744"/>
    <w:rsid w:val="00E52D5D"/>
    <w:rsid w:val="00E54002"/>
    <w:rsid w:val="00E575A2"/>
    <w:rsid w:val="00E60338"/>
    <w:rsid w:val="00E60375"/>
    <w:rsid w:val="00E6143E"/>
    <w:rsid w:val="00E62AE6"/>
    <w:rsid w:val="00E65DD5"/>
    <w:rsid w:val="00E66B8C"/>
    <w:rsid w:val="00E70B48"/>
    <w:rsid w:val="00E76B7A"/>
    <w:rsid w:val="00E76CD7"/>
    <w:rsid w:val="00E811E5"/>
    <w:rsid w:val="00E82154"/>
    <w:rsid w:val="00E83135"/>
    <w:rsid w:val="00E84138"/>
    <w:rsid w:val="00E84357"/>
    <w:rsid w:val="00E848FB"/>
    <w:rsid w:val="00E91EF2"/>
    <w:rsid w:val="00E94809"/>
    <w:rsid w:val="00EA44DD"/>
    <w:rsid w:val="00EA5955"/>
    <w:rsid w:val="00EA5C29"/>
    <w:rsid w:val="00EB0000"/>
    <w:rsid w:val="00EB0BEF"/>
    <w:rsid w:val="00EB5473"/>
    <w:rsid w:val="00EC002C"/>
    <w:rsid w:val="00EC08C7"/>
    <w:rsid w:val="00EC2420"/>
    <w:rsid w:val="00EC5748"/>
    <w:rsid w:val="00EC5ABC"/>
    <w:rsid w:val="00EC66D4"/>
    <w:rsid w:val="00ED1D09"/>
    <w:rsid w:val="00ED26E2"/>
    <w:rsid w:val="00ED3272"/>
    <w:rsid w:val="00ED64F5"/>
    <w:rsid w:val="00ED7749"/>
    <w:rsid w:val="00EE0462"/>
    <w:rsid w:val="00EE7065"/>
    <w:rsid w:val="00EF0F5C"/>
    <w:rsid w:val="00EF1998"/>
    <w:rsid w:val="00EF2CEB"/>
    <w:rsid w:val="00EF57E2"/>
    <w:rsid w:val="00EF6A9B"/>
    <w:rsid w:val="00F0013D"/>
    <w:rsid w:val="00F00605"/>
    <w:rsid w:val="00F05F2F"/>
    <w:rsid w:val="00F06E6A"/>
    <w:rsid w:val="00F07DA7"/>
    <w:rsid w:val="00F1277B"/>
    <w:rsid w:val="00F12909"/>
    <w:rsid w:val="00F13F54"/>
    <w:rsid w:val="00F1619B"/>
    <w:rsid w:val="00F20923"/>
    <w:rsid w:val="00F22725"/>
    <w:rsid w:val="00F228CC"/>
    <w:rsid w:val="00F233B4"/>
    <w:rsid w:val="00F23752"/>
    <w:rsid w:val="00F3235D"/>
    <w:rsid w:val="00F3254F"/>
    <w:rsid w:val="00F33939"/>
    <w:rsid w:val="00F364DD"/>
    <w:rsid w:val="00F366DB"/>
    <w:rsid w:val="00F513CC"/>
    <w:rsid w:val="00F54B19"/>
    <w:rsid w:val="00F55308"/>
    <w:rsid w:val="00F61E49"/>
    <w:rsid w:val="00F61ED2"/>
    <w:rsid w:val="00F71E2C"/>
    <w:rsid w:val="00F72990"/>
    <w:rsid w:val="00F77047"/>
    <w:rsid w:val="00F77D72"/>
    <w:rsid w:val="00F81D82"/>
    <w:rsid w:val="00F832B7"/>
    <w:rsid w:val="00F86585"/>
    <w:rsid w:val="00F90049"/>
    <w:rsid w:val="00F9019D"/>
    <w:rsid w:val="00F96742"/>
    <w:rsid w:val="00F972E1"/>
    <w:rsid w:val="00FA1246"/>
    <w:rsid w:val="00FA15EB"/>
    <w:rsid w:val="00FA1C58"/>
    <w:rsid w:val="00FA29A0"/>
    <w:rsid w:val="00FA7B3C"/>
    <w:rsid w:val="00FB322F"/>
    <w:rsid w:val="00FB41DB"/>
    <w:rsid w:val="00FB4476"/>
    <w:rsid w:val="00FB6EBD"/>
    <w:rsid w:val="00FC5344"/>
    <w:rsid w:val="00FC65BF"/>
    <w:rsid w:val="00FD4D97"/>
    <w:rsid w:val="00FE4BED"/>
    <w:rsid w:val="00FF0B47"/>
    <w:rsid w:val="00FF0D96"/>
    <w:rsid w:val="00FF156E"/>
    <w:rsid w:val="00FF2427"/>
    <w:rsid w:val="00FF252D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186B"/>
  <w15:docId w15:val="{9B290B8A-327F-49F0-8F32-07158D5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274EF"/>
    <w:pPr>
      <w:spacing w:after="120" w:line="360" w:lineRule="auto"/>
      <w:ind w:firstLine="567"/>
      <w:jc w:val="both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13120F"/>
    <w:pPr>
      <w:keepNext/>
      <w:pBdr>
        <w:top w:val="double" w:sz="6" w:space="2" w:color="auto"/>
        <w:bottom w:val="double" w:sz="6" w:space="2" w:color="auto"/>
      </w:pBdr>
      <w:spacing w:after="240" w:line="276" w:lineRule="auto"/>
      <w:ind w:firstLine="0"/>
      <w:outlineLvl w:val="0"/>
    </w:pPr>
    <w:rPr>
      <w:smallCaps/>
      <w:color w:val="1F3864"/>
      <w:sz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274EF"/>
    <w:pPr>
      <w:keepNext/>
      <w:pBdr>
        <w:bottom w:val="dashed" w:sz="4" w:space="1" w:color="auto"/>
      </w:pBdr>
      <w:spacing w:before="360" w:after="240"/>
      <w:outlineLvl w:val="1"/>
    </w:pPr>
    <w:rPr>
      <w:smallCaps/>
      <w:color w:val="1F4E79"/>
      <w:szCs w:val="20"/>
    </w:rPr>
  </w:style>
  <w:style w:type="paragraph" w:styleId="Heading3">
    <w:name w:val="heading 3"/>
    <w:basedOn w:val="Normal"/>
    <w:next w:val="Normal"/>
    <w:link w:val="Heading3Char"/>
    <w:autoRedefine/>
    <w:qFormat/>
    <w:rsid w:val="00C274EF"/>
    <w:pPr>
      <w:keepNext/>
      <w:spacing w:before="360" w:after="240"/>
      <w:ind w:left="454"/>
      <w:outlineLvl w:val="2"/>
    </w:pPr>
    <w:rPr>
      <w:i/>
      <w:smallCaps/>
      <w:color w:val="1F4E79"/>
      <w:sz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C274EF"/>
    <w:pPr>
      <w:keepNext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"/>
    <w:rsid w:val="00C274EF"/>
    <w:pPr>
      <w:keepNext/>
      <w:jc w:val="center"/>
      <w:outlineLvl w:val="4"/>
    </w:pPr>
    <w:rPr>
      <w:b/>
      <w:sz w:val="20"/>
      <w:szCs w:val="20"/>
    </w:rPr>
  </w:style>
  <w:style w:type="paragraph" w:styleId="Heading6">
    <w:name w:val="heading 6"/>
    <w:aliases w:val="NORMAL"/>
    <w:basedOn w:val="Normal"/>
    <w:next w:val="Normal"/>
    <w:link w:val="Heading6Char"/>
    <w:autoRedefine/>
    <w:qFormat/>
    <w:rsid w:val="00C274EF"/>
    <w:pPr>
      <w:widowControl w:val="0"/>
      <w:spacing w:before="120"/>
      <w:ind w:firstLine="357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uiPriority w:val="9"/>
    <w:rsid w:val="00C274EF"/>
    <w:pPr>
      <w:keepNext/>
      <w:ind w:firstLine="709"/>
      <w:jc w:val="center"/>
      <w:outlineLvl w:val="6"/>
    </w:pPr>
    <w:rPr>
      <w:b/>
      <w:sz w:val="18"/>
      <w:szCs w:val="20"/>
    </w:rPr>
  </w:style>
  <w:style w:type="paragraph" w:styleId="Heading8">
    <w:name w:val="heading 8"/>
    <w:basedOn w:val="Normal"/>
    <w:next w:val="Normal"/>
    <w:link w:val="Heading8Char"/>
    <w:uiPriority w:val="9"/>
    <w:rsid w:val="00C274EF"/>
    <w:pPr>
      <w:keepNext/>
      <w:jc w:val="center"/>
      <w:outlineLvl w:val="7"/>
    </w:pPr>
    <w:rPr>
      <w:b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C274EF"/>
    <w:pPr>
      <w:keepNext/>
      <w:outlineLvl w:val="8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120F"/>
    <w:rPr>
      <w:rFonts w:eastAsia="Times New Roman"/>
      <w:smallCaps/>
      <w:color w:val="1F3864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274EF"/>
    <w:rPr>
      <w:rFonts w:eastAsia="Times New Roman" w:cs="Times New Roman"/>
      <w:smallCaps/>
      <w:color w:val="1F4E79"/>
      <w:sz w:val="24"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rsid w:val="00C274EF"/>
    <w:rPr>
      <w:rFonts w:eastAsia="Times New Roman" w:cs="Times New Roman"/>
      <w:i/>
      <w:smallCaps/>
      <w:color w:val="1F4E79"/>
      <w:sz w:val="20"/>
      <w:szCs w:val="24"/>
      <w:u w:val="single"/>
      <w:lang w:eastAsia="hr-HR"/>
    </w:rPr>
  </w:style>
  <w:style w:type="character" w:customStyle="1" w:styleId="Heading4Char">
    <w:name w:val="Heading 4 Char"/>
    <w:basedOn w:val="DefaultParagraphFont"/>
    <w:link w:val="Heading4"/>
    <w:rsid w:val="00C274EF"/>
    <w:rPr>
      <w:rFonts w:eastAsia="Times New Roman" w:cs="Times New Roman"/>
      <w:sz w:val="24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uiPriority w:val="9"/>
    <w:rsid w:val="00C274EF"/>
    <w:rPr>
      <w:rFonts w:eastAsia="Times New Roman" w:cs="Times New Roman"/>
      <w:b/>
      <w:sz w:val="20"/>
      <w:szCs w:val="20"/>
      <w:lang w:eastAsia="hr-HR"/>
    </w:rPr>
  </w:style>
  <w:style w:type="character" w:customStyle="1" w:styleId="Heading6Char">
    <w:name w:val="Heading 6 Char"/>
    <w:aliases w:val="NORMAL Char"/>
    <w:basedOn w:val="DefaultParagraphFont"/>
    <w:link w:val="Heading6"/>
    <w:rsid w:val="00C274EF"/>
    <w:rPr>
      <w:rFonts w:eastAsia="Times New Roman" w:cs="Times New Roman"/>
      <w:sz w:val="24"/>
      <w:szCs w:val="20"/>
      <w:lang w:eastAsia="hr-HR"/>
    </w:rPr>
  </w:style>
  <w:style w:type="character" w:customStyle="1" w:styleId="Heading7Char">
    <w:name w:val="Heading 7 Char"/>
    <w:basedOn w:val="DefaultParagraphFont"/>
    <w:link w:val="Heading7"/>
    <w:uiPriority w:val="9"/>
    <w:rsid w:val="00C274EF"/>
    <w:rPr>
      <w:rFonts w:eastAsia="Times New Roman" w:cs="Times New Roman"/>
      <w:b/>
      <w:sz w:val="18"/>
      <w:szCs w:val="20"/>
      <w:lang w:eastAsia="hr-HR"/>
    </w:rPr>
  </w:style>
  <w:style w:type="character" w:customStyle="1" w:styleId="Heading8Char">
    <w:name w:val="Heading 8 Char"/>
    <w:basedOn w:val="DefaultParagraphFont"/>
    <w:link w:val="Heading8"/>
    <w:uiPriority w:val="9"/>
    <w:rsid w:val="00C274EF"/>
    <w:rPr>
      <w:rFonts w:eastAsia="Times New Roman" w:cs="Times New Roman"/>
      <w:b/>
      <w:sz w:val="18"/>
      <w:szCs w:val="20"/>
      <w:lang w:eastAsia="hr-HR"/>
    </w:rPr>
  </w:style>
  <w:style w:type="character" w:customStyle="1" w:styleId="Heading9Char">
    <w:name w:val="Heading 9 Char"/>
    <w:basedOn w:val="DefaultParagraphFont"/>
    <w:link w:val="Heading9"/>
    <w:uiPriority w:val="9"/>
    <w:rsid w:val="00C274EF"/>
    <w:rPr>
      <w:rFonts w:ascii="Arial" w:eastAsia="Times New Roman" w:hAnsi="Arial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rsid w:val="00C274EF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274EF"/>
    <w:rPr>
      <w:rFonts w:eastAsia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rsid w:val="00C274EF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274EF"/>
    <w:rPr>
      <w:rFonts w:eastAsia="Times New Roman" w:cs="Times New Roman"/>
      <w:sz w:val="20"/>
      <w:szCs w:val="20"/>
      <w:lang w:val="en-GB" w:eastAsia="hr-HR"/>
    </w:rPr>
  </w:style>
  <w:style w:type="paragraph" w:styleId="BodyText">
    <w:name w:val="Body Text"/>
    <w:basedOn w:val="Normal"/>
    <w:link w:val="BodyTextChar"/>
    <w:rsid w:val="00C274EF"/>
    <w:rPr>
      <w:szCs w:val="20"/>
    </w:rPr>
  </w:style>
  <w:style w:type="character" w:customStyle="1" w:styleId="BodyTextChar">
    <w:name w:val="Body Text Char"/>
    <w:basedOn w:val="DefaultParagraphFont"/>
    <w:link w:val="BodyText"/>
    <w:rsid w:val="00C274EF"/>
    <w:rPr>
      <w:rFonts w:eastAsia="Times New Roman" w:cs="Times New Roman"/>
      <w:sz w:val="24"/>
      <w:szCs w:val="20"/>
      <w:lang w:eastAsia="hr-HR"/>
    </w:rPr>
  </w:style>
  <w:style w:type="paragraph" w:styleId="Title">
    <w:name w:val="Title"/>
    <w:basedOn w:val="Normal"/>
    <w:link w:val="TitleChar"/>
    <w:uiPriority w:val="10"/>
    <w:qFormat/>
    <w:rsid w:val="00C274EF"/>
    <w:pPr>
      <w:jc w:val="center"/>
    </w:pPr>
    <w:rPr>
      <w:rFonts w:ascii="Arial" w:hAnsi="Arial"/>
      <w:b/>
      <w:i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C274EF"/>
    <w:rPr>
      <w:rFonts w:ascii="Arial" w:eastAsia="Times New Roman" w:hAnsi="Arial" w:cs="Times New Roman"/>
      <w:b/>
      <w:i/>
      <w:sz w:val="24"/>
      <w:szCs w:val="20"/>
      <w:lang w:eastAsia="hr-HR"/>
    </w:rPr>
  </w:style>
  <w:style w:type="paragraph" w:styleId="BodyTextIndent">
    <w:name w:val="Body Text Indent"/>
    <w:basedOn w:val="Normal"/>
    <w:link w:val="BodyTextIndentChar"/>
    <w:rsid w:val="00C274EF"/>
    <w:pPr>
      <w:ind w:firstLine="720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274EF"/>
    <w:rPr>
      <w:rFonts w:ascii="Arial" w:eastAsia="Times New Roman" w:hAnsi="Arial" w:cs="Times New Roman"/>
      <w:sz w:val="24"/>
      <w:szCs w:val="20"/>
      <w:lang w:eastAsia="hr-HR"/>
    </w:rPr>
  </w:style>
  <w:style w:type="character" w:styleId="PageNumber">
    <w:name w:val="page number"/>
    <w:basedOn w:val="DefaultParagraphFont"/>
    <w:rsid w:val="00C274EF"/>
  </w:style>
  <w:style w:type="table" w:styleId="TableGrid">
    <w:name w:val="Table Grid"/>
    <w:basedOn w:val="TableNormal"/>
    <w:uiPriority w:val="39"/>
    <w:rsid w:val="00C274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274EF"/>
    <w:rPr>
      <w:rFonts w:ascii="Arial" w:hAnsi="Arial"/>
      <w:szCs w:val="20"/>
    </w:rPr>
  </w:style>
  <w:style w:type="character" w:customStyle="1" w:styleId="BodyText2Char">
    <w:name w:val="Body Text 2 Char"/>
    <w:basedOn w:val="DefaultParagraphFont"/>
    <w:link w:val="BodyText2"/>
    <w:rsid w:val="00C274EF"/>
    <w:rPr>
      <w:rFonts w:ascii="Arial" w:eastAsia="Times New Roman" w:hAnsi="Arial" w:cs="Times New Roman"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C274EF"/>
    <w:pPr>
      <w:numPr>
        <w:numId w:val="19"/>
      </w:numPr>
      <w:spacing w:after="240" w:line="276" w:lineRule="auto"/>
    </w:pPr>
    <w:rPr>
      <w:rFonts w:eastAsia="Calibri"/>
      <w:szCs w:val="22"/>
      <w:lang w:eastAsia="en-US"/>
    </w:rPr>
  </w:style>
  <w:style w:type="table" w:customStyle="1" w:styleId="LightList-Accent11">
    <w:name w:val="Light List - Accent 11"/>
    <w:basedOn w:val="TableNormal"/>
    <w:uiPriority w:val="61"/>
    <w:rsid w:val="00C274EF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rsid w:val="00C274EF"/>
    <w:pPr>
      <w:keepLines/>
      <w:pBdr>
        <w:top w:val="none" w:sz="0" w:space="0" w:color="auto"/>
        <w:bottom w:val="none" w:sz="0" w:space="0" w:color="auto"/>
        <w:right w:val="double" w:sz="6" w:space="4" w:color="auto"/>
      </w:pBdr>
      <w:shd w:val="clear" w:color="auto" w:fill="365F91"/>
      <w:spacing w:before="240" w:after="0" w:line="259" w:lineRule="auto"/>
      <w:jc w:val="left"/>
      <w:outlineLvl w:val="9"/>
    </w:pPr>
    <w:rPr>
      <w:rFonts w:ascii="Calibri Light" w:hAnsi="Calibri Light"/>
      <w:smallCaps w:val="0"/>
      <w:color w:val="2E74B5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274EF"/>
    <w:pPr>
      <w:tabs>
        <w:tab w:val="right" w:leader="dot" w:pos="9061"/>
      </w:tabs>
      <w:spacing w:after="100" w:line="259" w:lineRule="auto"/>
      <w:ind w:left="1276" w:hanging="489"/>
    </w:pPr>
    <w:rPr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274EF"/>
    <w:pPr>
      <w:spacing w:after="100" w:line="259" w:lineRule="auto"/>
    </w:pPr>
    <w:rPr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C274EF"/>
    <w:pPr>
      <w:spacing w:after="100" w:line="259" w:lineRule="auto"/>
      <w:ind w:left="440"/>
    </w:pPr>
    <w:rPr>
      <w:szCs w:val="22"/>
      <w:lang w:val="en-US" w:eastAsia="en-US"/>
    </w:rPr>
  </w:style>
  <w:style w:type="character" w:styleId="Hyperlink">
    <w:name w:val="Hyperlink"/>
    <w:uiPriority w:val="99"/>
    <w:unhideWhenUsed/>
    <w:rsid w:val="00C274E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274EF"/>
    <w:pPr>
      <w:spacing w:before="100" w:beforeAutospacing="1" w:after="100" w:afterAutospacing="1"/>
    </w:pPr>
  </w:style>
  <w:style w:type="table" w:customStyle="1" w:styleId="Tamnatablicareetke5-isticanje51">
    <w:name w:val="Tamna tablica rešetke 5 - isticanje 51"/>
    <w:basedOn w:val="TableNormal"/>
    <w:uiPriority w:val="50"/>
    <w:rsid w:val="00C274EF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styleId="CommentReference">
    <w:name w:val="annotation reference"/>
    <w:uiPriority w:val="99"/>
    <w:semiHidden/>
    <w:unhideWhenUsed/>
    <w:rsid w:val="00C27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4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4EF"/>
    <w:rPr>
      <w:rFonts w:eastAsia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4EF"/>
    <w:rPr>
      <w:rFonts w:eastAsia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4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4EF"/>
    <w:rPr>
      <w:rFonts w:ascii="Segoe UI" w:eastAsia="Times New Roman" w:hAnsi="Segoe UI" w:cs="Segoe UI"/>
      <w:sz w:val="18"/>
      <w:szCs w:val="18"/>
      <w:lang w:eastAsia="hr-HR"/>
    </w:rPr>
  </w:style>
  <w:style w:type="table" w:customStyle="1" w:styleId="Obinatablica11">
    <w:name w:val="Obična tablica 11"/>
    <w:basedOn w:val="TableNormal"/>
    <w:uiPriority w:val="41"/>
    <w:rsid w:val="00C274EF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Svijetlatablicareetke1-isticanje51">
    <w:name w:val="Svijetla tablica rešetke 1 - isticanje 51"/>
    <w:basedOn w:val="TableNormal"/>
    <w:uiPriority w:val="46"/>
    <w:rsid w:val="00C274EF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aliases w:val="Caption Graf"/>
    <w:basedOn w:val="Normal"/>
    <w:next w:val="Normal"/>
    <w:link w:val="CaptionChar"/>
    <w:autoRedefine/>
    <w:uiPriority w:val="35"/>
    <w:unhideWhenUsed/>
    <w:qFormat/>
    <w:rsid w:val="00206EA6"/>
    <w:pPr>
      <w:keepNext/>
      <w:spacing w:after="0" w:line="240" w:lineRule="auto"/>
      <w:jc w:val="left"/>
    </w:pPr>
    <w:rPr>
      <w:bCs/>
      <w:i/>
      <w:sz w:val="22"/>
      <w:szCs w:val="20"/>
    </w:rPr>
  </w:style>
  <w:style w:type="table" w:styleId="MediumGrid1-Accent5">
    <w:name w:val="Medium Grid 1 Accent 5"/>
    <w:basedOn w:val="TableNormal"/>
    <w:uiPriority w:val="67"/>
    <w:rsid w:val="00C274EF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C274EF"/>
    <w:pPr>
      <w:ind w:left="480" w:hanging="480"/>
    </w:pPr>
    <w:rPr>
      <w:smallCaps/>
      <w:sz w:val="20"/>
      <w:szCs w:val="20"/>
    </w:rPr>
  </w:style>
  <w:style w:type="character" w:styleId="FollowedHyperlink">
    <w:name w:val="FollowedHyperlink"/>
    <w:uiPriority w:val="99"/>
    <w:semiHidden/>
    <w:unhideWhenUsed/>
    <w:rsid w:val="00C274EF"/>
    <w:rPr>
      <w:color w:val="954F72"/>
      <w:u w:val="single"/>
    </w:rPr>
  </w:style>
  <w:style w:type="paragraph" w:styleId="NoSpacing">
    <w:name w:val="No Spacing"/>
    <w:uiPriority w:val="1"/>
    <w:qFormat/>
    <w:rsid w:val="00C274EF"/>
    <w:pPr>
      <w:jc w:val="center"/>
    </w:pPr>
    <w:rPr>
      <w:rFonts w:ascii="Times New Roman" w:eastAsia="Times New Roman" w:hAnsi="Times New Roman"/>
      <w:sz w:val="18"/>
      <w:szCs w:val="24"/>
    </w:rPr>
  </w:style>
  <w:style w:type="table" w:customStyle="1" w:styleId="Svijetlosjenanje-Isticanje11">
    <w:name w:val="Svijetlo sjenčanje - Isticanje 11"/>
    <w:basedOn w:val="TableNormal"/>
    <w:uiPriority w:val="60"/>
    <w:rsid w:val="00C274EF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Tablicareetke4-isticanje11">
    <w:name w:val="Tablica rešetke 4 - isticanje 11"/>
    <w:basedOn w:val="TableNormal"/>
    <w:uiPriority w:val="49"/>
    <w:rsid w:val="00C274EF"/>
    <w:pPr>
      <w:spacing w:before="100"/>
    </w:pPr>
    <w:rPr>
      <w:rFonts w:eastAsia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ublish">
    <w:name w:val="publish"/>
    <w:basedOn w:val="Normal"/>
    <w:rsid w:val="00C274EF"/>
    <w:pPr>
      <w:spacing w:before="100" w:beforeAutospacing="1" w:after="100" w:afterAutospacing="1" w:line="240" w:lineRule="auto"/>
      <w:ind w:firstLine="0"/>
      <w:jc w:val="left"/>
    </w:pPr>
  </w:style>
  <w:style w:type="character" w:styleId="Strong">
    <w:name w:val="Strong"/>
    <w:uiPriority w:val="22"/>
    <w:qFormat/>
    <w:rsid w:val="00C274EF"/>
    <w:rPr>
      <w:b/>
      <w:bCs/>
    </w:rPr>
  </w:style>
  <w:style w:type="character" w:customStyle="1" w:styleId="onecommenttime">
    <w:name w:val="onecomment__time"/>
    <w:rsid w:val="00C274EF"/>
  </w:style>
  <w:style w:type="character" w:customStyle="1" w:styleId="jsonecommentvisible">
    <w:name w:val="js_onecommentvisible"/>
    <w:rsid w:val="00C274EF"/>
  </w:style>
  <w:style w:type="table" w:customStyle="1" w:styleId="Svijetlatablicareetke-isticanje11">
    <w:name w:val="Svijetla tablica rešetke - isticanje 11"/>
    <w:basedOn w:val="TableNormal"/>
    <w:uiPriority w:val="46"/>
    <w:rsid w:val="00C274EF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C274E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customStyle="1" w:styleId="tb-na16">
    <w:name w:val="tb-na16"/>
    <w:basedOn w:val="Normal"/>
    <w:rsid w:val="00C274EF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t-12-9-fett-s">
    <w:name w:val="t-12-9-fett-s"/>
    <w:basedOn w:val="Normal"/>
    <w:rsid w:val="00C274EF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clanak">
    <w:name w:val="clanak"/>
    <w:basedOn w:val="Normal"/>
    <w:rsid w:val="00C274EF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t-9-8">
    <w:name w:val="t-9-8"/>
    <w:basedOn w:val="Normal"/>
    <w:rsid w:val="00C274EF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key">
    <w:name w:val="key"/>
    <w:basedOn w:val="DefaultParagraphFont"/>
    <w:rsid w:val="00C274EF"/>
  </w:style>
  <w:style w:type="character" w:customStyle="1" w:styleId="apple-converted-space">
    <w:name w:val="apple-converted-space"/>
    <w:basedOn w:val="DefaultParagraphFont"/>
    <w:rsid w:val="00C274EF"/>
  </w:style>
  <w:style w:type="numbering" w:customStyle="1" w:styleId="Headings">
    <w:name w:val="Headings"/>
    <w:rsid w:val="00C274EF"/>
    <w:pPr>
      <w:numPr>
        <w:numId w:val="18"/>
      </w:numPr>
    </w:pPr>
  </w:style>
  <w:style w:type="table" w:customStyle="1" w:styleId="Svijetlareetkatablice1">
    <w:name w:val="Svijetla rešetka tablice1"/>
    <w:basedOn w:val="TableNormal"/>
    <w:uiPriority w:val="40"/>
    <w:rsid w:val="00C274EF"/>
    <w:rPr>
      <w:rFonts w:ascii="Times New Roman" w:eastAsia="Times New Roman" w:hAnsi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mnatablicareetke5-isticanje11">
    <w:name w:val="Tamna tablica rešetke 5 - isticanje 11"/>
    <w:basedOn w:val="TableNormal"/>
    <w:uiPriority w:val="50"/>
    <w:rsid w:val="00C274EF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paragraph" w:customStyle="1" w:styleId="Captiontabela">
    <w:name w:val="Caption tabela"/>
    <w:basedOn w:val="Caption"/>
    <w:link w:val="CaptiontabelaChar"/>
    <w:autoRedefine/>
    <w:qFormat/>
    <w:rsid w:val="00C274EF"/>
    <w:pPr>
      <w:spacing w:before="240"/>
    </w:pPr>
  </w:style>
  <w:style w:type="paragraph" w:customStyle="1" w:styleId="Normalsnabrajanjem">
    <w:name w:val="Normal s nabrajanjem"/>
    <w:basedOn w:val="Heading6"/>
    <w:link w:val="NormalsnabrajanjemChar"/>
    <w:qFormat/>
    <w:rsid w:val="00C274EF"/>
    <w:pPr>
      <w:spacing w:after="0"/>
    </w:pPr>
  </w:style>
  <w:style w:type="character" w:customStyle="1" w:styleId="CaptionChar">
    <w:name w:val="Caption Char"/>
    <w:aliases w:val="Caption Graf Char"/>
    <w:basedOn w:val="DefaultParagraphFont"/>
    <w:link w:val="Caption"/>
    <w:uiPriority w:val="35"/>
    <w:rsid w:val="00206EA6"/>
    <w:rPr>
      <w:rFonts w:eastAsia="Times New Roman"/>
      <w:bCs/>
      <w:i/>
      <w:sz w:val="22"/>
    </w:rPr>
  </w:style>
  <w:style w:type="character" w:customStyle="1" w:styleId="CaptiontabelaChar">
    <w:name w:val="Caption tabela Char"/>
    <w:basedOn w:val="CaptionChar"/>
    <w:link w:val="Captiontabela"/>
    <w:rsid w:val="00C274EF"/>
    <w:rPr>
      <w:rFonts w:eastAsia="Times New Roman" w:cs="Times New Roman"/>
      <w:bCs/>
      <w:i/>
      <w:sz w:val="22"/>
      <w:szCs w:val="20"/>
      <w:lang w:eastAsia="hr-HR"/>
    </w:rPr>
  </w:style>
  <w:style w:type="character" w:customStyle="1" w:styleId="NormalsnabrajanjemChar">
    <w:name w:val="Normal s nabrajanjem Char"/>
    <w:basedOn w:val="Heading6Char"/>
    <w:link w:val="Normalsnabrajanjem"/>
    <w:rsid w:val="00C274EF"/>
    <w:rPr>
      <w:rFonts w:eastAsia="Times New Roman" w:cs="Times New Roman"/>
      <w:sz w:val="24"/>
      <w:szCs w:val="20"/>
      <w:lang w:eastAsia="hr-HR"/>
    </w:rPr>
  </w:style>
  <w:style w:type="paragraph" w:customStyle="1" w:styleId="xl65">
    <w:name w:val="xl65"/>
    <w:basedOn w:val="Normal"/>
    <w:rsid w:val="00ED1D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66">
    <w:name w:val="xl66"/>
    <w:basedOn w:val="Normal"/>
    <w:rsid w:val="00ED1D09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D1D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68">
    <w:name w:val="xl68"/>
    <w:basedOn w:val="Normal"/>
    <w:rsid w:val="00ED1D09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ED1D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ED1D0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ED1D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ED1D09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73">
    <w:name w:val="xl73"/>
    <w:basedOn w:val="Normal"/>
    <w:rsid w:val="00ED1D09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</w:rPr>
  </w:style>
  <w:style w:type="paragraph" w:customStyle="1" w:styleId="xl74">
    <w:name w:val="xl74"/>
    <w:basedOn w:val="Normal"/>
    <w:rsid w:val="00ED1D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ED1D0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"/>
    <w:rsid w:val="00ED1D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77">
    <w:name w:val="xl77"/>
    <w:basedOn w:val="Normal"/>
    <w:rsid w:val="00ED1D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ED1D0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ED1D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ED1D09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ED1D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"/>
    <w:rsid w:val="00ED1D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"/>
    <w:rsid w:val="00ED1D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"/>
    <w:rsid w:val="00ED1D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"/>
    <w:rsid w:val="00ED1D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"/>
    <w:rsid w:val="00ED1D0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ED1D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ED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ED1D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ED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</w:rPr>
  </w:style>
  <w:style w:type="paragraph" w:customStyle="1" w:styleId="xl91">
    <w:name w:val="xl91"/>
    <w:basedOn w:val="Normal"/>
    <w:rsid w:val="00ED1D0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ED1D09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ED1D09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ED1D09"/>
    <w:pPr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ED1D0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ED1D09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ED1D09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ED1D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ED1D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ED1D0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ED1D0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rsid w:val="00ED1D0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ED1D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ED1D09"/>
    <w:pPr>
      <w:pBdr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ED1D09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</w:rPr>
  </w:style>
  <w:style w:type="paragraph" w:customStyle="1" w:styleId="xl106">
    <w:name w:val="xl106"/>
    <w:basedOn w:val="Normal"/>
    <w:rsid w:val="00ED1D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"/>
    <w:rsid w:val="00ED1D0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ED1D0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"/>
    <w:rsid w:val="00ED1D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"/>
    <w:rsid w:val="00ED1D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"/>
    <w:rsid w:val="00ED1D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112">
    <w:name w:val="xl112"/>
    <w:basedOn w:val="Normal"/>
    <w:rsid w:val="00ED1D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"/>
    <w:rsid w:val="00ED1D0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</w:rPr>
  </w:style>
  <w:style w:type="paragraph" w:customStyle="1" w:styleId="xl114">
    <w:name w:val="xl114"/>
    <w:basedOn w:val="Normal"/>
    <w:rsid w:val="00ED1D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ED1D0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rsid w:val="00ED1D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"/>
    <w:rsid w:val="00ED1D0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ED1D0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ED1D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"/>
    <w:rsid w:val="00ED1D0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"/>
    <w:rsid w:val="00ED1D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rsid w:val="00ED1D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rsid w:val="00ED1D09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rsid w:val="00ED1D09"/>
    <w:pPr>
      <w:pBdr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rsid w:val="00ED1D09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rsid w:val="00ED1D09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rsid w:val="00ED1D09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rsid w:val="00ED1D09"/>
    <w:pPr>
      <w:pBdr>
        <w:top w:val="double" w:sz="6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"/>
    <w:rsid w:val="00ED1D09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"/>
    <w:rsid w:val="00ED1D09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131">
    <w:name w:val="xl131"/>
    <w:basedOn w:val="Normal"/>
    <w:rsid w:val="00ED1D09"/>
    <w:pPr>
      <w:pBdr>
        <w:top w:val="double" w:sz="6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132">
    <w:name w:val="xl132"/>
    <w:basedOn w:val="Normal"/>
    <w:rsid w:val="00ED1D0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"/>
    <w:rsid w:val="00ED1D09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"/>
    <w:rsid w:val="00ED1D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135">
    <w:name w:val="xl135"/>
    <w:basedOn w:val="Normal"/>
    <w:rsid w:val="00ED1D09"/>
    <w:pPr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136">
    <w:name w:val="xl136"/>
    <w:basedOn w:val="Normal"/>
    <w:rsid w:val="00ED1D0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"/>
    <w:rsid w:val="00ED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138">
    <w:name w:val="xl138"/>
    <w:basedOn w:val="Normal"/>
    <w:rsid w:val="00ED1D0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</w:rPr>
  </w:style>
  <w:style w:type="paragraph" w:customStyle="1" w:styleId="xl139">
    <w:name w:val="xl139"/>
    <w:basedOn w:val="Normal"/>
    <w:rsid w:val="00ED1D09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"/>
    <w:rsid w:val="00ED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141">
    <w:name w:val="xl141"/>
    <w:basedOn w:val="Normal"/>
    <w:rsid w:val="00ED1D09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"/>
    <w:rsid w:val="00ED1D09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</w:rPr>
  </w:style>
  <w:style w:type="paragraph" w:customStyle="1" w:styleId="xl143">
    <w:name w:val="xl143"/>
    <w:basedOn w:val="Normal"/>
    <w:rsid w:val="00ED1D09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"/>
    <w:rsid w:val="00ED1D09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"/>
    <w:rsid w:val="00ED1D0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"/>
    <w:rsid w:val="00ED1D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"/>
    <w:rsid w:val="00ED1D0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"/>
    <w:rsid w:val="00ED1D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"/>
    <w:rsid w:val="00ED1D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"/>
    <w:rsid w:val="00ED1D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D1D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152">
    <w:name w:val="xl152"/>
    <w:basedOn w:val="Normal"/>
    <w:rsid w:val="00ED1D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153">
    <w:name w:val="xl153"/>
    <w:basedOn w:val="Normal"/>
    <w:rsid w:val="00ED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</w:rPr>
  </w:style>
  <w:style w:type="paragraph" w:customStyle="1" w:styleId="xl154">
    <w:name w:val="xl154"/>
    <w:basedOn w:val="Normal"/>
    <w:rsid w:val="00ED1D09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Normal"/>
    <w:rsid w:val="00ED1D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Normal"/>
    <w:rsid w:val="00ED1D0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Normal"/>
    <w:rsid w:val="00ED1D0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Normal"/>
    <w:rsid w:val="00ED1D09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"/>
    <w:rsid w:val="00ED1D09"/>
    <w:pPr>
      <w:pBdr>
        <w:top w:val="double" w:sz="6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"/>
    <w:rsid w:val="00ED1D09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</w:rPr>
  </w:style>
  <w:style w:type="paragraph" w:customStyle="1" w:styleId="xl161">
    <w:name w:val="xl161"/>
    <w:basedOn w:val="Normal"/>
    <w:rsid w:val="00ED1D09"/>
    <w:pPr>
      <w:pBdr>
        <w:top w:val="double" w:sz="6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</w:rPr>
  </w:style>
  <w:style w:type="paragraph" w:customStyle="1" w:styleId="xl162">
    <w:name w:val="xl162"/>
    <w:basedOn w:val="Normal"/>
    <w:rsid w:val="00ED1D09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Normal"/>
    <w:rsid w:val="00ED1D09"/>
    <w:pPr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164">
    <w:name w:val="xl164"/>
    <w:basedOn w:val="Normal"/>
    <w:rsid w:val="00ED1D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165">
    <w:name w:val="xl165"/>
    <w:basedOn w:val="Normal"/>
    <w:rsid w:val="00ED1D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166">
    <w:name w:val="xl166"/>
    <w:basedOn w:val="Normal"/>
    <w:rsid w:val="00ED1D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167">
    <w:name w:val="xl167"/>
    <w:basedOn w:val="Normal"/>
    <w:rsid w:val="00ED1D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168">
    <w:name w:val="xl168"/>
    <w:basedOn w:val="Normal"/>
    <w:rsid w:val="00ED1D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169">
    <w:name w:val="xl169"/>
    <w:basedOn w:val="Normal"/>
    <w:rsid w:val="00ED1D0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170">
    <w:name w:val="xl170"/>
    <w:basedOn w:val="Normal"/>
    <w:rsid w:val="00ED1D09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171">
    <w:name w:val="xl171"/>
    <w:basedOn w:val="Normal"/>
    <w:rsid w:val="00ED1D09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"/>
    <w:rsid w:val="00ED1D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"/>
    <w:rsid w:val="00ED1D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174">
    <w:name w:val="xl174"/>
    <w:basedOn w:val="Normal"/>
    <w:rsid w:val="00ED1D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175">
    <w:name w:val="xl175"/>
    <w:basedOn w:val="Normal"/>
    <w:rsid w:val="00ED1D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176">
    <w:name w:val="xl176"/>
    <w:basedOn w:val="Normal"/>
    <w:rsid w:val="00ED1D0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177">
    <w:name w:val="xl177"/>
    <w:basedOn w:val="Normal"/>
    <w:rsid w:val="00ED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78">
    <w:name w:val="xl178"/>
    <w:basedOn w:val="Normal"/>
    <w:rsid w:val="00ED1D0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179">
    <w:name w:val="xl179"/>
    <w:basedOn w:val="Normal"/>
    <w:rsid w:val="00ED1D09"/>
    <w:pPr>
      <w:pBdr>
        <w:top w:val="single" w:sz="8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180">
    <w:name w:val="xl180"/>
    <w:basedOn w:val="Normal"/>
    <w:rsid w:val="00ED1D0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181">
    <w:name w:val="xl181"/>
    <w:basedOn w:val="Normal"/>
    <w:rsid w:val="00ED1D0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"/>
    <w:rsid w:val="00ED1D09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Normal"/>
    <w:rsid w:val="00ED1D0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ED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</w:rPr>
  </w:style>
  <w:style w:type="paragraph" w:customStyle="1" w:styleId="xl185">
    <w:name w:val="xl185"/>
    <w:basedOn w:val="Normal"/>
    <w:rsid w:val="00ED1D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186">
    <w:name w:val="xl186"/>
    <w:basedOn w:val="Normal"/>
    <w:rsid w:val="00ED1D0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187">
    <w:name w:val="xl187"/>
    <w:basedOn w:val="Normal"/>
    <w:rsid w:val="00ED1D0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188">
    <w:name w:val="xl188"/>
    <w:basedOn w:val="Normal"/>
    <w:rsid w:val="00ED1D0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"/>
    <w:rsid w:val="00ED1D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ED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ED1D09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ED1D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193">
    <w:name w:val="xl193"/>
    <w:basedOn w:val="Normal"/>
    <w:rsid w:val="00ED1D0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</w:rPr>
  </w:style>
  <w:style w:type="paragraph" w:customStyle="1" w:styleId="xl194">
    <w:name w:val="xl194"/>
    <w:basedOn w:val="Normal"/>
    <w:rsid w:val="00ED1D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195">
    <w:name w:val="xl195"/>
    <w:basedOn w:val="Normal"/>
    <w:rsid w:val="00ED1D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196">
    <w:name w:val="xl196"/>
    <w:basedOn w:val="Normal"/>
    <w:rsid w:val="00ED1D0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197">
    <w:name w:val="xl197"/>
    <w:basedOn w:val="Normal"/>
    <w:rsid w:val="00ED1D0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198">
    <w:name w:val="xl198"/>
    <w:basedOn w:val="Normal"/>
    <w:rsid w:val="00ED1D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199">
    <w:name w:val="xl199"/>
    <w:basedOn w:val="Normal"/>
    <w:rsid w:val="00ED1D0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ED1D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1">
    <w:name w:val="xl201"/>
    <w:basedOn w:val="Normal"/>
    <w:rsid w:val="00ED1D09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202">
    <w:name w:val="xl202"/>
    <w:basedOn w:val="Normal"/>
    <w:rsid w:val="00ED1D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</w:rPr>
  </w:style>
  <w:style w:type="paragraph" w:customStyle="1" w:styleId="xl203">
    <w:name w:val="xl203"/>
    <w:basedOn w:val="Normal"/>
    <w:rsid w:val="00ED1D09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Normal"/>
    <w:rsid w:val="00ED1D0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205">
    <w:name w:val="xl205"/>
    <w:basedOn w:val="Normal"/>
    <w:rsid w:val="00ED1D0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206">
    <w:name w:val="xl206"/>
    <w:basedOn w:val="Normal"/>
    <w:rsid w:val="00ED1D0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</w:rPr>
  </w:style>
  <w:style w:type="paragraph" w:customStyle="1" w:styleId="xl207">
    <w:name w:val="xl207"/>
    <w:basedOn w:val="Normal"/>
    <w:rsid w:val="00ED1D09"/>
    <w:pPr>
      <w:pBdr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ED1D09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ED1D09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b/>
      <w:bCs/>
    </w:rPr>
  </w:style>
  <w:style w:type="paragraph" w:customStyle="1" w:styleId="xl210">
    <w:name w:val="xl210"/>
    <w:basedOn w:val="Normal"/>
    <w:rsid w:val="00ED1D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11">
    <w:name w:val="xl211"/>
    <w:basedOn w:val="Normal"/>
    <w:rsid w:val="00ED1D09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12">
    <w:name w:val="xl212"/>
    <w:basedOn w:val="Normal"/>
    <w:rsid w:val="00ED1D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13">
    <w:name w:val="xl213"/>
    <w:basedOn w:val="Normal"/>
    <w:rsid w:val="00ED1D09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214">
    <w:name w:val="xl214"/>
    <w:basedOn w:val="Normal"/>
    <w:rsid w:val="00ED1D09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215">
    <w:name w:val="xl215"/>
    <w:basedOn w:val="Normal"/>
    <w:rsid w:val="00ED1D09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Normal"/>
    <w:rsid w:val="00ED1D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17">
    <w:name w:val="xl217"/>
    <w:basedOn w:val="Normal"/>
    <w:rsid w:val="00ED1D09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18">
    <w:name w:val="xl218"/>
    <w:basedOn w:val="Normal"/>
    <w:rsid w:val="00ED1D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19">
    <w:name w:val="xl219"/>
    <w:basedOn w:val="Normal"/>
    <w:rsid w:val="00ED1D09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20">
    <w:name w:val="xl220"/>
    <w:basedOn w:val="Normal"/>
    <w:rsid w:val="00ED1D09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21">
    <w:name w:val="xl221"/>
    <w:basedOn w:val="Normal"/>
    <w:rsid w:val="00ED1D09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22">
    <w:name w:val="xl222"/>
    <w:basedOn w:val="Normal"/>
    <w:rsid w:val="00ED1D09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23">
    <w:name w:val="xl223"/>
    <w:basedOn w:val="Normal"/>
    <w:rsid w:val="00ED1D09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24">
    <w:name w:val="xl224"/>
    <w:basedOn w:val="Normal"/>
    <w:rsid w:val="00ED1D09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25">
    <w:name w:val="xl225"/>
    <w:basedOn w:val="Normal"/>
    <w:rsid w:val="00ED1D09"/>
    <w:pPr>
      <w:pBdr>
        <w:top w:val="single" w:sz="8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Normal"/>
    <w:rsid w:val="00ED1D09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Normal"/>
    <w:rsid w:val="00ED1D09"/>
    <w:pPr>
      <w:pBdr>
        <w:top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Normal"/>
    <w:rsid w:val="00ED1D0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Normal"/>
    <w:rsid w:val="00ED1D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230">
    <w:name w:val="xl230"/>
    <w:basedOn w:val="Normal"/>
    <w:rsid w:val="00ED1D0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231">
    <w:name w:val="xl231"/>
    <w:basedOn w:val="Normal"/>
    <w:rsid w:val="00ED1D0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232">
    <w:name w:val="xl232"/>
    <w:basedOn w:val="Normal"/>
    <w:rsid w:val="00ED1D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233">
    <w:name w:val="xl233"/>
    <w:basedOn w:val="Normal"/>
    <w:rsid w:val="00ED1D0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Normal"/>
    <w:rsid w:val="00ED1D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Normal"/>
    <w:rsid w:val="00ED1D09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Normal"/>
    <w:rsid w:val="00ED1D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Normal"/>
    <w:rsid w:val="00ED1D09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Normal"/>
    <w:rsid w:val="00ED1D09"/>
    <w:pPr>
      <w:pBdr>
        <w:top w:val="double" w:sz="6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239">
    <w:name w:val="xl239"/>
    <w:basedOn w:val="Normal"/>
    <w:rsid w:val="00ED1D09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240">
    <w:name w:val="xl240"/>
    <w:basedOn w:val="Normal"/>
    <w:rsid w:val="00ED1D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41">
    <w:name w:val="xl241"/>
    <w:basedOn w:val="Normal"/>
    <w:rsid w:val="00ED1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42">
    <w:name w:val="xl242"/>
    <w:basedOn w:val="Normal"/>
    <w:rsid w:val="00ED1D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43">
    <w:name w:val="xl243"/>
    <w:basedOn w:val="Normal"/>
    <w:rsid w:val="00ED1D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Normal"/>
    <w:rsid w:val="00ED1D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45">
    <w:name w:val="xl245"/>
    <w:basedOn w:val="Normal"/>
    <w:rsid w:val="00ED1D09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46">
    <w:name w:val="xl246"/>
    <w:basedOn w:val="Normal"/>
    <w:rsid w:val="00ED1D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47">
    <w:name w:val="xl247"/>
    <w:basedOn w:val="Normal"/>
    <w:rsid w:val="00ED1D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248">
    <w:name w:val="xl248"/>
    <w:basedOn w:val="Normal"/>
    <w:rsid w:val="00ED1D09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249">
    <w:name w:val="xl249"/>
    <w:basedOn w:val="Normal"/>
    <w:rsid w:val="00ED1D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250">
    <w:name w:val="xl250"/>
    <w:basedOn w:val="Normal"/>
    <w:rsid w:val="00ED1D0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251">
    <w:name w:val="xl251"/>
    <w:basedOn w:val="Normal"/>
    <w:rsid w:val="00ED1D09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52">
    <w:name w:val="xl252"/>
    <w:basedOn w:val="Normal"/>
    <w:rsid w:val="00ED1D09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53">
    <w:name w:val="xl253"/>
    <w:basedOn w:val="Normal"/>
    <w:rsid w:val="00ED1D09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54">
    <w:name w:val="xl254"/>
    <w:basedOn w:val="Normal"/>
    <w:rsid w:val="00ED1D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55">
    <w:name w:val="xl255"/>
    <w:basedOn w:val="Normal"/>
    <w:rsid w:val="00ED1D09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56">
    <w:name w:val="xl256"/>
    <w:basedOn w:val="Normal"/>
    <w:rsid w:val="00ED1D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57">
    <w:name w:val="xl257"/>
    <w:basedOn w:val="Normal"/>
    <w:rsid w:val="00ED1D0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258">
    <w:name w:val="xl258"/>
    <w:basedOn w:val="Normal"/>
    <w:rsid w:val="00ED1D09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259">
    <w:name w:val="xl259"/>
    <w:basedOn w:val="Normal"/>
    <w:rsid w:val="00ED1D0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260">
    <w:name w:val="xl260"/>
    <w:basedOn w:val="Normal"/>
    <w:rsid w:val="00ED1D09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261">
    <w:name w:val="xl261"/>
    <w:basedOn w:val="Normal"/>
    <w:rsid w:val="00ED1D09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262">
    <w:name w:val="xl262"/>
    <w:basedOn w:val="Normal"/>
    <w:rsid w:val="00ED1D09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263">
    <w:name w:val="xl263"/>
    <w:basedOn w:val="Normal"/>
    <w:rsid w:val="00ED1D09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64">
    <w:name w:val="xl264"/>
    <w:basedOn w:val="Normal"/>
    <w:rsid w:val="00ED1D09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65">
    <w:name w:val="xl265"/>
    <w:basedOn w:val="Normal"/>
    <w:rsid w:val="00ED1D09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66">
    <w:name w:val="xl266"/>
    <w:basedOn w:val="Normal"/>
    <w:rsid w:val="00ED1D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67">
    <w:name w:val="xl267"/>
    <w:basedOn w:val="Normal"/>
    <w:rsid w:val="00ED1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68">
    <w:name w:val="xl268"/>
    <w:basedOn w:val="Normal"/>
    <w:rsid w:val="00ED1D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69">
    <w:name w:val="xl269"/>
    <w:basedOn w:val="Normal"/>
    <w:rsid w:val="00ED1D09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270">
    <w:name w:val="xl270"/>
    <w:basedOn w:val="Normal"/>
    <w:rsid w:val="00ED1D09"/>
    <w:pPr>
      <w:pBdr>
        <w:bottom w:val="double" w:sz="6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271">
    <w:name w:val="xl271"/>
    <w:basedOn w:val="Normal"/>
    <w:rsid w:val="00ED1D0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272">
    <w:name w:val="xl272"/>
    <w:basedOn w:val="Normal"/>
    <w:rsid w:val="00ED1D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73">
    <w:name w:val="xl273"/>
    <w:basedOn w:val="Normal"/>
    <w:rsid w:val="00ED1D09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74">
    <w:name w:val="xl274"/>
    <w:basedOn w:val="Normal"/>
    <w:rsid w:val="00ED1D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75">
    <w:name w:val="xl275"/>
    <w:basedOn w:val="Normal"/>
    <w:rsid w:val="00ED1D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76">
    <w:name w:val="xl276"/>
    <w:basedOn w:val="Normal"/>
    <w:rsid w:val="00ED1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77">
    <w:name w:val="xl277"/>
    <w:basedOn w:val="Normal"/>
    <w:rsid w:val="00ED1D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78">
    <w:name w:val="xl278"/>
    <w:basedOn w:val="Normal"/>
    <w:rsid w:val="00ED1D0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279">
    <w:name w:val="xl279"/>
    <w:basedOn w:val="Normal"/>
    <w:rsid w:val="00ED1D0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280">
    <w:name w:val="xl280"/>
    <w:basedOn w:val="Normal"/>
    <w:rsid w:val="00ED1D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81">
    <w:name w:val="xl281"/>
    <w:basedOn w:val="Normal"/>
    <w:rsid w:val="00ED1D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82">
    <w:name w:val="xl282"/>
    <w:basedOn w:val="Normal"/>
    <w:rsid w:val="00ED1D0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83">
    <w:name w:val="xl283"/>
    <w:basedOn w:val="Normal"/>
    <w:rsid w:val="00ED1D0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</w:rPr>
  </w:style>
  <w:style w:type="paragraph" w:customStyle="1" w:styleId="xl284">
    <w:name w:val="xl284"/>
    <w:basedOn w:val="Normal"/>
    <w:rsid w:val="00ED1D09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"/>
    <w:rsid w:val="00ED1D09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"/>
    <w:rsid w:val="00ED1D0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87">
    <w:name w:val="xl287"/>
    <w:basedOn w:val="Normal"/>
    <w:rsid w:val="00ED1D0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88">
    <w:name w:val="xl288"/>
    <w:basedOn w:val="Normal"/>
    <w:rsid w:val="00ED1D0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89">
    <w:name w:val="xl289"/>
    <w:basedOn w:val="Normal"/>
    <w:rsid w:val="00ED1D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90">
    <w:name w:val="xl290"/>
    <w:basedOn w:val="Normal"/>
    <w:rsid w:val="00ED1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91">
    <w:name w:val="xl291"/>
    <w:basedOn w:val="Normal"/>
    <w:rsid w:val="00ED1D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92">
    <w:name w:val="xl292"/>
    <w:basedOn w:val="Normal"/>
    <w:rsid w:val="00ED1D09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293">
    <w:name w:val="xl293"/>
    <w:basedOn w:val="Normal"/>
    <w:rsid w:val="00ED1D09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294">
    <w:name w:val="xl294"/>
    <w:basedOn w:val="Normal"/>
    <w:rsid w:val="00ED1D09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295">
    <w:name w:val="xl295"/>
    <w:basedOn w:val="Normal"/>
    <w:rsid w:val="00ED1D09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296">
    <w:name w:val="xl296"/>
    <w:basedOn w:val="Normal"/>
    <w:rsid w:val="00ED1D09"/>
    <w:pPr>
      <w:pBdr>
        <w:bottom w:val="double" w:sz="6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297">
    <w:name w:val="xl297"/>
    <w:basedOn w:val="Normal"/>
    <w:rsid w:val="00ED1D0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298">
    <w:name w:val="xl298"/>
    <w:basedOn w:val="Normal"/>
    <w:rsid w:val="00ED1D09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299">
    <w:name w:val="xl299"/>
    <w:basedOn w:val="Normal"/>
    <w:rsid w:val="00ED1D09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300">
    <w:name w:val="xl300"/>
    <w:basedOn w:val="Normal"/>
    <w:rsid w:val="00ED1D09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301">
    <w:name w:val="xl301"/>
    <w:basedOn w:val="Normal"/>
    <w:rsid w:val="00ED1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302">
    <w:name w:val="xl302"/>
    <w:basedOn w:val="Normal"/>
    <w:rsid w:val="00ED1D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303">
    <w:name w:val="xl303"/>
    <w:basedOn w:val="Normal"/>
    <w:rsid w:val="00ED1D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304">
    <w:name w:val="xl304"/>
    <w:basedOn w:val="Normal"/>
    <w:rsid w:val="00ED1D09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305">
    <w:name w:val="xl305"/>
    <w:basedOn w:val="Normal"/>
    <w:rsid w:val="00ED1D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306">
    <w:name w:val="xl306"/>
    <w:basedOn w:val="Normal"/>
    <w:rsid w:val="00ED1D09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307">
    <w:name w:val="xl307"/>
    <w:basedOn w:val="Normal"/>
    <w:rsid w:val="00ED1D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308">
    <w:name w:val="xl308"/>
    <w:basedOn w:val="Normal"/>
    <w:rsid w:val="00ED1D09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309">
    <w:name w:val="xl309"/>
    <w:basedOn w:val="Normal"/>
    <w:rsid w:val="00ED1D09"/>
    <w:pPr>
      <w:pBdr>
        <w:top w:val="double" w:sz="6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310">
    <w:name w:val="xl310"/>
    <w:basedOn w:val="Normal"/>
    <w:rsid w:val="00ED1D09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311">
    <w:name w:val="xl311"/>
    <w:basedOn w:val="Normal"/>
    <w:rsid w:val="00ED1D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312">
    <w:name w:val="xl312"/>
    <w:basedOn w:val="Normal"/>
    <w:rsid w:val="00ED1D09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313">
    <w:name w:val="xl313"/>
    <w:basedOn w:val="Normal"/>
    <w:rsid w:val="00ED1D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314">
    <w:name w:val="xl314"/>
    <w:basedOn w:val="Normal"/>
    <w:rsid w:val="00ED1D09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315">
    <w:name w:val="xl315"/>
    <w:basedOn w:val="Normal"/>
    <w:rsid w:val="00ED1D09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Normal"/>
    <w:rsid w:val="00ED1D09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317">
    <w:name w:val="xl317"/>
    <w:basedOn w:val="Normal"/>
    <w:rsid w:val="00ED1D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</w:rPr>
  </w:style>
  <w:style w:type="paragraph" w:customStyle="1" w:styleId="xl318">
    <w:name w:val="xl318"/>
    <w:basedOn w:val="Normal"/>
    <w:rsid w:val="00ED1D09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319">
    <w:name w:val="xl319"/>
    <w:basedOn w:val="Normal"/>
    <w:rsid w:val="00ED1D09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320">
    <w:name w:val="xl320"/>
    <w:basedOn w:val="Normal"/>
    <w:rsid w:val="00ED1D09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321">
    <w:name w:val="xl321"/>
    <w:basedOn w:val="Normal"/>
    <w:rsid w:val="00ED1D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322">
    <w:name w:val="xl322"/>
    <w:basedOn w:val="Normal"/>
    <w:rsid w:val="00ED1D09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323">
    <w:name w:val="xl323"/>
    <w:basedOn w:val="Normal"/>
    <w:rsid w:val="00ED1D09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324">
    <w:name w:val="xl324"/>
    <w:basedOn w:val="Normal"/>
    <w:rsid w:val="00ED1D09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325">
    <w:name w:val="xl325"/>
    <w:basedOn w:val="Normal"/>
    <w:rsid w:val="00ED1D09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326">
    <w:name w:val="xl326"/>
    <w:basedOn w:val="Normal"/>
    <w:rsid w:val="00ED1D09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327">
    <w:name w:val="xl327"/>
    <w:basedOn w:val="Normal"/>
    <w:rsid w:val="00ED1D09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328">
    <w:name w:val="xl328"/>
    <w:basedOn w:val="Normal"/>
    <w:rsid w:val="00ED1D09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329">
    <w:name w:val="xl329"/>
    <w:basedOn w:val="Normal"/>
    <w:rsid w:val="00ED1D09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330">
    <w:name w:val="xl330"/>
    <w:basedOn w:val="Normal"/>
    <w:rsid w:val="00ED1D09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31">
    <w:name w:val="xl331"/>
    <w:basedOn w:val="Normal"/>
    <w:rsid w:val="00ED1D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332">
    <w:name w:val="xl332"/>
    <w:basedOn w:val="Normal"/>
    <w:rsid w:val="00ED1D09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333">
    <w:name w:val="xl333"/>
    <w:basedOn w:val="Normal"/>
    <w:rsid w:val="00ED1D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334">
    <w:name w:val="xl334"/>
    <w:basedOn w:val="Normal"/>
    <w:rsid w:val="00ED1D0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335">
    <w:name w:val="xl335"/>
    <w:basedOn w:val="Normal"/>
    <w:rsid w:val="00ED1D09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336">
    <w:name w:val="xl336"/>
    <w:basedOn w:val="Normal"/>
    <w:rsid w:val="00ED1D0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337">
    <w:name w:val="xl337"/>
    <w:basedOn w:val="Normal"/>
    <w:rsid w:val="00ED1D09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38">
    <w:name w:val="xl338"/>
    <w:basedOn w:val="Normal"/>
    <w:rsid w:val="00ED1D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</w:rPr>
  </w:style>
  <w:style w:type="paragraph" w:customStyle="1" w:styleId="xl339">
    <w:name w:val="xl339"/>
    <w:basedOn w:val="Normal"/>
    <w:rsid w:val="00ED1D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340">
    <w:name w:val="xl340"/>
    <w:basedOn w:val="Normal"/>
    <w:rsid w:val="00ED1D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341">
    <w:name w:val="xl341"/>
    <w:basedOn w:val="Normal"/>
    <w:rsid w:val="00ED1D09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</w:rPr>
  </w:style>
  <w:style w:type="paragraph" w:customStyle="1" w:styleId="xl342">
    <w:name w:val="xl342"/>
    <w:basedOn w:val="Normal"/>
    <w:rsid w:val="00ED1D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</w:rPr>
  </w:style>
  <w:style w:type="paragraph" w:customStyle="1" w:styleId="xl343">
    <w:name w:val="xl343"/>
    <w:basedOn w:val="Normal"/>
    <w:rsid w:val="00ED1D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</w:rPr>
  </w:style>
  <w:style w:type="paragraph" w:customStyle="1" w:styleId="xl344">
    <w:name w:val="xl344"/>
    <w:basedOn w:val="Normal"/>
    <w:rsid w:val="00ED1D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</w:rPr>
  </w:style>
  <w:style w:type="paragraph" w:customStyle="1" w:styleId="xl345">
    <w:name w:val="xl345"/>
    <w:basedOn w:val="Normal"/>
    <w:rsid w:val="00ED1D0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</w:rPr>
  </w:style>
  <w:style w:type="paragraph" w:customStyle="1" w:styleId="xl346">
    <w:name w:val="xl346"/>
    <w:basedOn w:val="Normal"/>
    <w:rsid w:val="00ED1D0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347">
    <w:name w:val="xl347"/>
    <w:basedOn w:val="Normal"/>
    <w:rsid w:val="00ED1D0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348">
    <w:name w:val="xl348"/>
    <w:basedOn w:val="Normal"/>
    <w:rsid w:val="00ED1D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</w:rPr>
  </w:style>
  <w:style w:type="paragraph" w:customStyle="1" w:styleId="xl349">
    <w:name w:val="xl349"/>
    <w:basedOn w:val="Normal"/>
    <w:rsid w:val="00ED1D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</w:rPr>
  </w:style>
  <w:style w:type="paragraph" w:customStyle="1" w:styleId="xl350">
    <w:name w:val="xl350"/>
    <w:basedOn w:val="Normal"/>
    <w:rsid w:val="00ED1D0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</w:rPr>
  </w:style>
  <w:style w:type="paragraph" w:customStyle="1" w:styleId="xl351">
    <w:name w:val="xl351"/>
    <w:basedOn w:val="Normal"/>
    <w:rsid w:val="00ED1D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2">
    <w:name w:val="xl352"/>
    <w:basedOn w:val="Normal"/>
    <w:rsid w:val="00ED1D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">
    <w:name w:val="xl353"/>
    <w:basedOn w:val="Normal"/>
    <w:rsid w:val="00ED1D0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">
    <w:name w:val="xl354"/>
    <w:basedOn w:val="Normal"/>
    <w:rsid w:val="00ED1D09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">
    <w:name w:val="xl355"/>
    <w:basedOn w:val="Normal"/>
    <w:rsid w:val="00ED1D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</w:rPr>
  </w:style>
  <w:style w:type="paragraph" w:customStyle="1" w:styleId="xl356">
    <w:name w:val="xl356"/>
    <w:basedOn w:val="Normal"/>
    <w:rsid w:val="00ED1D0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</w:rPr>
  </w:style>
  <w:style w:type="paragraph" w:customStyle="1" w:styleId="xl357">
    <w:name w:val="xl357"/>
    <w:basedOn w:val="Normal"/>
    <w:rsid w:val="00ED1D09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358">
    <w:name w:val="xl358"/>
    <w:basedOn w:val="Normal"/>
    <w:rsid w:val="00ED1D09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359">
    <w:name w:val="xl359"/>
    <w:basedOn w:val="Normal"/>
    <w:rsid w:val="00ED1D09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360">
    <w:name w:val="xl360"/>
    <w:basedOn w:val="Normal"/>
    <w:rsid w:val="00ED1D09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361">
    <w:name w:val="xl361"/>
    <w:basedOn w:val="Normal"/>
    <w:rsid w:val="00ED1D09"/>
    <w:pPr>
      <w:pBdr>
        <w:bottom w:val="double" w:sz="6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362">
    <w:name w:val="xl362"/>
    <w:basedOn w:val="Normal"/>
    <w:rsid w:val="00ED1D0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363">
    <w:name w:val="xl363"/>
    <w:basedOn w:val="Normal"/>
    <w:rsid w:val="00ED1D0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 w:val="12"/>
      <w:szCs w:val="12"/>
    </w:rPr>
  </w:style>
  <w:style w:type="paragraph" w:customStyle="1" w:styleId="xl364">
    <w:name w:val="xl364"/>
    <w:basedOn w:val="Normal"/>
    <w:rsid w:val="00ED1D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2"/>
      <w:szCs w:val="12"/>
    </w:rPr>
  </w:style>
  <w:style w:type="paragraph" w:customStyle="1" w:styleId="xl365">
    <w:name w:val="xl365"/>
    <w:basedOn w:val="Normal"/>
    <w:rsid w:val="00ED1D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2"/>
      <w:szCs w:val="12"/>
    </w:rPr>
  </w:style>
  <w:style w:type="paragraph" w:customStyle="1" w:styleId="xl366">
    <w:name w:val="xl366"/>
    <w:basedOn w:val="Normal"/>
    <w:rsid w:val="00ED1D0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</w:rPr>
  </w:style>
  <w:style w:type="paragraph" w:customStyle="1" w:styleId="xl367">
    <w:name w:val="xl367"/>
    <w:basedOn w:val="Normal"/>
    <w:rsid w:val="00ED1D0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368">
    <w:name w:val="xl368"/>
    <w:basedOn w:val="Normal"/>
    <w:rsid w:val="00ED1D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369">
    <w:name w:val="xl369"/>
    <w:basedOn w:val="Normal"/>
    <w:rsid w:val="00ED1D09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370">
    <w:name w:val="xl370"/>
    <w:basedOn w:val="Normal"/>
    <w:rsid w:val="00ED1D09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371">
    <w:name w:val="xl371"/>
    <w:basedOn w:val="Normal"/>
    <w:rsid w:val="00ED1D09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372">
    <w:name w:val="xl372"/>
    <w:basedOn w:val="Normal"/>
    <w:rsid w:val="00ED1D09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373">
    <w:name w:val="xl373"/>
    <w:basedOn w:val="Normal"/>
    <w:rsid w:val="00ED1D09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374">
    <w:name w:val="xl374"/>
    <w:basedOn w:val="Normal"/>
    <w:rsid w:val="00ED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375">
    <w:name w:val="xl375"/>
    <w:basedOn w:val="Normal"/>
    <w:rsid w:val="00ED1D0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376">
    <w:name w:val="xl376"/>
    <w:basedOn w:val="Normal"/>
    <w:rsid w:val="00ED1D09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377">
    <w:name w:val="xl377"/>
    <w:basedOn w:val="Normal"/>
    <w:rsid w:val="00ED1D09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</w:rPr>
  </w:style>
  <w:style w:type="paragraph" w:customStyle="1" w:styleId="xl378">
    <w:name w:val="xl378"/>
    <w:basedOn w:val="Normal"/>
    <w:rsid w:val="00ED1D09"/>
    <w:pPr>
      <w:pBdr>
        <w:top w:val="single" w:sz="8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379">
    <w:name w:val="xl379"/>
    <w:basedOn w:val="Normal"/>
    <w:rsid w:val="00ED1D09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380">
    <w:name w:val="xl380"/>
    <w:basedOn w:val="Normal"/>
    <w:rsid w:val="00ED1D09"/>
    <w:pPr>
      <w:pBdr>
        <w:top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381">
    <w:name w:val="xl381"/>
    <w:basedOn w:val="Normal"/>
    <w:rsid w:val="00ED1D0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382">
    <w:name w:val="xl382"/>
    <w:basedOn w:val="Normal"/>
    <w:rsid w:val="00ED1D09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383">
    <w:name w:val="xl383"/>
    <w:basedOn w:val="Normal"/>
    <w:rsid w:val="00ED1D09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384">
    <w:name w:val="xl384"/>
    <w:basedOn w:val="Normal"/>
    <w:rsid w:val="00ED1D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6A18BA"/>
    <w:rPr>
      <w:rFonts w:eastAsia="Times New Roman"/>
      <w:sz w:val="24"/>
      <w:szCs w:val="24"/>
    </w:rPr>
  </w:style>
  <w:style w:type="paragraph" w:customStyle="1" w:styleId="msonormal0">
    <w:name w:val="msonormal"/>
    <w:basedOn w:val="Normal"/>
    <w:rsid w:val="005F7F6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0399C-1CA3-4A86-94BF-7CCA452D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3738</Words>
  <Characters>21310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 Dinter</dc:creator>
  <cp:lastModifiedBy>Dražen Dinter</cp:lastModifiedBy>
  <cp:revision>2</cp:revision>
  <cp:lastPrinted>2024-03-07T07:47:00Z</cp:lastPrinted>
  <dcterms:created xsi:type="dcterms:W3CDTF">2024-03-07T07:59:00Z</dcterms:created>
  <dcterms:modified xsi:type="dcterms:W3CDTF">2024-03-07T07:59:00Z</dcterms:modified>
</cp:coreProperties>
</file>